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標楷體" w:cs="標楷體" w:hAnsi="標楷體" w:eastAsia="標楷體"/>
          <w:sz w:val="28"/>
          <w:szCs w:val="28"/>
          <w:lang w:val="zh-TW" w:eastAsia="zh-TW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臺北市立大直高級中學國中部藝文領域專業學習社群</w:t>
      </w:r>
    </w:p>
    <w:p>
      <w:pPr>
        <w:pStyle w:val="Normal.0"/>
        <w:jc w:val="center"/>
        <w:rPr>
          <w:rFonts w:ascii="標楷體" w:cs="標楷體" w:hAnsi="標楷體" w:eastAsia="標楷體"/>
          <w:sz w:val="28"/>
          <w:szCs w:val="28"/>
        </w:rPr>
      </w:pPr>
      <w:r>
        <w:rPr>
          <w:rFonts w:ascii="標楷體" w:hAnsi="標楷體"/>
          <w:sz w:val="28"/>
          <w:szCs w:val="28"/>
          <w:rtl w:val="0"/>
          <w:lang w:val="en-US"/>
        </w:rPr>
        <w:t>105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學年度第一學期 活化教學知能工作坊計畫</w:t>
      </w:r>
    </w:p>
    <w:p>
      <w:pPr>
        <w:pStyle w:val="Normal.0"/>
        <w:numPr>
          <w:ilvl w:val="0"/>
          <w:numId w:val="2"/>
        </w:numPr>
        <w:bidi w:val="0"/>
        <w:spacing w:before="180" w:after="180" w:line="360" w:lineRule="auto"/>
        <w:ind w:right="0"/>
        <w:jc w:val="left"/>
        <w:rPr>
          <w:rFonts w:ascii="標楷體" w:cs="標楷體" w:hAnsi="標楷體"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依據：</w:t>
      </w:r>
      <w:r>
        <w:rPr>
          <w:rFonts w:ascii="標楷體" w:hAnsi="標楷體"/>
          <w:rtl w:val="0"/>
          <w:lang w:val="en-US"/>
        </w:rPr>
        <w:t>105</w:t>
      </w:r>
      <w:r>
        <w:rPr>
          <w:rFonts w:eastAsia="標楷體" w:hint="eastAsia"/>
          <w:rtl w:val="0"/>
          <w:lang w:val="zh-TW" w:eastAsia="zh-TW"/>
        </w:rPr>
        <w:t>年</w:t>
      </w:r>
      <w:r>
        <w:rPr>
          <w:rFonts w:ascii="標楷體" w:hAnsi="標楷體"/>
          <w:rtl w:val="0"/>
          <w:lang w:val="en-US"/>
        </w:rPr>
        <w:t xml:space="preserve"> 9 </w:t>
      </w:r>
      <w:r>
        <w:rPr>
          <w:rFonts w:eastAsia="標楷體" w:hint="eastAsia"/>
          <w:rtl w:val="0"/>
          <w:lang w:val="zh-TW" w:eastAsia="zh-TW"/>
        </w:rPr>
        <w:t>月</w:t>
      </w:r>
      <w:r>
        <w:rPr>
          <w:rFonts w:ascii="標楷體" w:hAnsi="標楷體"/>
          <w:rtl w:val="0"/>
          <w:lang w:val="en-US"/>
        </w:rPr>
        <w:t xml:space="preserve"> 2 </w:t>
      </w:r>
      <w:r>
        <w:rPr>
          <w:rFonts w:eastAsia="標楷體" w:hint="eastAsia"/>
          <w:rtl w:val="0"/>
          <w:lang w:val="zh-TW" w:eastAsia="zh-TW"/>
        </w:rPr>
        <w:t>日教育局北市教中字第</w:t>
      </w:r>
      <w:r>
        <w:rPr>
          <w:rFonts w:ascii="標楷體" w:hAnsi="標楷體"/>
          <w:rtl w:val="0"/>
          <w:lang w:val="en-US"/>
        </w:rPr>
        <w:t>10538970500</w:t>
      </w:r>
      <w:r>
        <w:rPr>
          <w:rFonts w:eastAsia="標楷體" w:hint="eastAsia"/>
          <w:rtl w:val="0"/>
          <w:lang w:val="zh-TW" w:eastAsia="zh-TW"/>
        </w:rPr>
        <w:t>號函。</w:t>
      </w:r>
    </w:p>
    <w:p>
      <w:pPr>
        <w:pStyle w:val="Normal.0"/>
        <w:numPr>
          <w:ilvl w:val="0"/>
          <w:numId w:val="2"/>
        </w:numPr>
        <w:bidi w:val="0"/>
        <w:spacing w:before="180" w:after="180" w:line="360" w:lineRule="auto"/>
        <w:ind w:right="0"/>
        <w:jc w:val="left"/>
        <w:rPr>
          <w:rFonts w:ascii="標楷體" w:cs="標楷體" w:hAnsi="標楷體" w:eastAsia="標楷體" w:hint="eastAsia"/>
          <w:kern w:val="0"/>
          <w:rtl w:val="0"/>
          <w:lang w:val="zh-TW" w:eastAsia="zh-TW"/>
        </w:rPr>
      </w:pPr>
      <w:r>
        <w:rPr>
          <w:rFonts w:eastAsia="標楷體" w:hint="eastAsia"/>
          <w:kern w:val="0"/>
          <w:rtl w:val="0"/>
          <w:lang w:val="zh-TW" w:eastAsia="zh-TW"/>
        </w:rPr>
        <w:t>目標：</w:t>
      </w:r>
      <w:r>
        <w:rPr>
          <w:rFonts w:eastAsia="標楷體" w:hint="eastAsia"/>
          <w:color w:val="ff0000"/>
          <w:kern w:val="0"/>
          <w:u w:color="ff0000"/>
          <w:rtl w:val="0"/>
          <w:lang w:val="zh-TW" w:eastAsia="zh-TW"/>
        </w:rPr>
        <w:t>結合教育局卓越藝術教育增能與亮點計畫，共同備課，提升教師專業知能。</w:t>
      </w:r>
    </w:p>
    <w:p>
      <w:pPr>
        <w:pStyle w:val="Normal.0"/>
        <w:numPr>
          <w:ilvl w:val="0"/>
          <w:numId w:val="2"/>
        </w:numPr>
        <w:bidi w:val="0"/>
        <w:spacing w:before="180" w:after="180" w:line="360" w:lineRule="auto"/>
        <w:ind w:right="0"/>
        <w:jc w:val="left"/>
        <w:rPr>
          <w:rFonts w:ascii="標楷體" w:cs="標楷體" w:hAnsi="標楷體" w:eastAsia="標楷體" w:hint="eastAsia"/>
          <w:kern w:val="0"/>
          <w:rtl w:val="0"/>
          <w:lang w:val="zh-TW" w:eastAsia="zh-TW"/>
        </w:rPr>
      </w:pPr>
      <w:r>
        <w:rPr>
          <w:rFonts w:eastAsia="標楷體" w:hint="eastAsia"/>
          <w:kern w:val="0"/>
          <w:rtl w:val="0"/>
          <w:lang w:val="zh-TW" w:eastAsia="zh-TW"/>
        </w:rPr>
        <w:t>工作坊主題：</w:t>
      </w:r>
      <w:r>
        <w:rPr>
          <w:rFonts w:ascii="標楷體" w:hAnsi="標楷體"/>
          <w:kern w:val="0"/>
          <w:rtl w:val="0"/>
          <w:lang w:val="en-US"/>
        </w:rPr>
        <w:t xml:space="preserve"> </w:t>
      </w:r>
    </w:p>
    <w:p>
      <w:pPr>
        <w:pStyle w:val="Normal.0"/>
        <w:numPr>
          <w:ilvl w:val="2"/>
          <w:numId w:val="2"/>
        </w:numPr>
        <w:bidi w:val="0"/>
        <w:spacing w:before="180" w:after="180" w:line="360" w:lineRule="auto"/>
        <w:ind w:right="0"/>
        <w:jc w:val="left"/>
        <w:rPr>
          <w:rFonts w:ascii="標楷體" w:cs="標楷體" w:hAnsi="標楷體" w:eastAsia="標楷體"/>
          <w:kern w:val="0"/>
          <w:rtl w:val="0"/>
          <w:lang w:val="en-US"/>
        </w:rPr>
      </w:pPr>
      <w:r>
        <w:rPr>
          <w:rFonts w:ascii="標楷體" w:hAnsi="標楷體"/>
          <w:kern w:val="0"/>
          <w:rtl w:val="0"/>
          <w:lang w:val="en-US"/>
        </w:rPr>
        <w:t xml:space="preserve"> 106</w:t>
      </w:r>
      <w:r>
        <w:rPr>
          <w:rFonts w:eastAsia="標楷體" w:hint="eastAsia"/>
          <w:color w:val="ff0000"/>
          <w:kern w:val="0"/>
          <w:u w:color="ff0000"/>
          <w:rtl w:val="0"/>
          <w:lang w:val="zh-TW" w:eastAsia="zh-TW"/>
        </w:rPr>
        <w:t>台北市教育局卓越藝術教育</w:t>
      </w:r>
      <w:r>
        <w:rPr>
          <w:rFonts w:eastAsia="標楷體" w:hint="eastAsia"/>
          <w:kern w:val="0"/>
          <w:rtl w:val="0"/>
          <w:lang w:val="zh-TW" w:eastAsia="zh-TW"/>
        </w:rPr>
        <w:t>相關研習。</w:t>
      </w:r>
    </w:p>
    <w:p>
      <w:pPr>
        <w:pStyle w:val="Normal.0"/>
        <w:numPr>
          <w:ilvl w:val="2"/>
          <w:numId w:val="3"/>
        </w:numPr>
        <w:bidi w:val="0"/>
        <w:spacing w:before="180" w:after="180" w:line="360" w:lineRule="auto"/>
        <w:ind w:right="0"/>
        <w:jc w:val="left"/>
        <w:rPr>
          <w:rFonts w:ascii="標楷體" w:cs="標楷體" w:hAnsi="標楷體" w:eastAsia="標楷體"/>
          <w:kern w:val="0"/>
          <w:rtl w:val="0"/>
          <w:lang w:val="zh-TW" w:eastAsia="zh-TW"/>
        </w:rPr>
      </w:pPr>
      <w:r>
        <w:rPr>
          <w:rFonts w:ascii="標楷體" w:hAnsi="標楷體"/>
          <w:kern w:val="0"/>
          <w:rtl w:val="0"/>
          <w:lang w:val="zh-TW" w:eastAsia="zh-TW"/>
        </w:rPr>
        <w:t xml:space="preserve"> </w:t>
      </w:r>
      <w:r>
        <w:rPr>
          <w:rFonts w:eastAsia="標楷體" w:hint="eastAsia"/>
          <w:kern w:val="0"/>
          <w:rtl w:val="0"/>
          <w:lang w:val="zh-TW" w:eastAsia="zh-TW"/>
        </w:rPr>
        <w:t>當代視覺、音樂、表演藝術教學趨勢與課程設計。</w:t>
      </w:r>
    </w:p>
    <w:p>
      <w:pPr>
        <w:pStyle w:val="Normal.0"/>
        <w:numPr>
          <w:ilvl w:val="0"/>
          <w:numId w:val="2"/>
        </w:numPr>
        <w:bidi w:val="0"/>
        <w:spacing w:before="180" w:after="180" w:line="360" w:lineRule="auto"/>
        <w:ind w:right="0"/>
        <w:jc w:val="left"/>
        <w:rPr>
          <w:rFonts w:ascii="標楷體" w:cs="標楷體" w:hAnsi="標楷體" w:eastAsia="標楷體" w:hint="eastAsia"/>
          <w:kern w:val="0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主題</w:t>
      </w:r>
      <w:r>
        <w:rPr>
          <w:rFonts w:eastAsia="標楷體" w:hint="eastAsia"/>
          <w:kern w:val="0"/>
          <w:rtl w:val="0"/>
          <w:lang w:val="zh-TW" w:eastAsia="zh-TW"/>
        </w:rPr>
        <w:t>簡介：</w:t>
      </w:r>
      <w:r>
        <w:rPr>
          <w:rFonts w:ascii="標楷體" w:hAnsi="標楷體"/>
          <w:kern w:val="0"/>
          <w:rtl w:val="0"/>
          <w:lang w:val="en-US"/>
        </w:rPr>
        <w:t xml:space="preserve"> </w:t>
      </w:r>
    </w:p>
    <w:p>
      <w:pPr>
        <w:pStyle w:val="Normal.0"/>
        <w:numPr>
          <w:ilvl w:val="2"/>
          <w:numId w:val="4"/>
        </w:numPr>
        <w:bidi w:val="0"/>
        <w:spacing w:before="180" w:after="180" w:line="360" w:lineRule="auto"/>
        <w:ind w:right="0"/>
        <w:jc w:val="left"/>
        <w:rPr>
          <w:rFonts w:ascii="標楷體" w:cs="標楷體" w:hAnsi="標楷體" w:eastAsia="標楷體"/>
          <w:kern w:val="0"/>
          <w:rtl w:val="0"/>
          <w:lang w:val="zh-TW" w:eastAsia="zh-TW"/>
        </w:rPr>
      </w:pPr>
      <w:r>
        <w:rPr>
          <w:rFonts w:ascii="標楷體" w:hAnsi="標楷體"/>
          <w:kern w:val="0"/>
          <w:rtl w:val="0"/>
          <w:lang w:val="zh-TW" w:eastAsia="zh-TW"/>
        </w:rPr>
        <w:t xml:space="preserve"> </w:t>
      </w:r>
      <w:r>
        <w:rPr>
          <w:rFonts w:eastAsia="標楷體" w:hint="eastAsia"/>
          <w:color w:val="ff0000"/>
          <w:kern w:val="0"/>
          <w:u w:color="ff0000"/>
          <w:rtl w:val="0"/>
          <w:lang w:val="zh-TW" w:eastAsia="zh-TW"/>
        </w:rPr>
        <w:t>視覺藝術：結合了文創與藝術的</w:t>
      </w:r>
      <w:r>
        <w:rPr>
          <w:rFonts w:ascii="標楷體" w:hAnsi="標楷體"/>
          <w:color w:val="ff0000"/>
          <w:kern w:val="0"/>
          <w:u w:color="ff0000"/>
          <w:rtl w:val="0"/>
          <w:lang w:val="zh-TW" w:eastAsia="zh-TW"/>
        </w:rPr>
        <w:t>Line</w:t>
      </w:r>
      <w:r>
        <w:rPr>
          <w:rFonts w:eastAsia="標楷體" w:hint="eastAsia"/>
          <w:color w:val="ff0000"/>
          <w:kern w:val="0"/>
          <w:u w:color="ff0000"/>
          <w:rtl w:val="0"/>
          <w:lang w:val="zh-TW" w:eastAsia="zh-TW"/>
        </w:rPr>
        <w:t>貼圖設計，完美體現商業行為、數位生活與美術設計</w:t>
      </w:r>
      <w:r>
        <w:rPr>
          <w:rFonts w:eastAsia="標楷體" w:hint="eastAsia"/>
          <w:color w:val="ff0000"/>
          <w:kern w:val="0"/>
          <w:u w:color="ff0000"/>
          <w:rtl w:val="0"/>
          <w:lang w:val="zh-TW" w:eastAsia="zh-TW"/>
        </w:rPr>
        <w:t>。</w:t>
      </w:r>
      <w:r>
        <w:rPr>
          <w:rFonts w:eastAsia="標楷體" w:hint="eastAsia"/>
          <w:kern w:val="0"/>
          <w:rtl w:val="0"/>
          <w:lang w:val="zh-TW" w:eastAsia="zh-TW"/>
        </w:rPr>
        <w:t>透過相關研習，教師學習引導學生設計個別化的貼圖，並介紹文創商品的生產與銷售流程。</w:t>
      </w:r>
    </w:p>
    <w:p>
      <w:pPr>
        <w:pStyle w:val="Normal.0"/>
        <w:numPr>
          <w:ilvl w:val="2"/>
          <w:numId w:val="3"/>
        </w:numPr>
        <w:bidi w:val="0"/>
        <w:spacing w:before="180" w:after="180" w:line="360" w:lineRule="auto"/>
        <w:ind w:right="0"/>
        <w:jc w:val="left"/>
        <w:rPr>
          <w:rFonts w:ascii="標楷體" w:cs="標楷體" w:hAnsi="標楷體" w:eastAsia="標楷體" w:hint="eastAsia"/>
          <w:kern w:val="0"/>
          <w:rtl w:val="0"/>
          <w:lang w:val="zh-TW" w:eastAsia="zh-TW"/>
        </w:rPr>
      </w:pPr>
      <w:r>
        <w:rPr>
          <w:rFonts w:eastAsia="標楷體" w:hint="eastAsia"/>
          <w:kern w:val="0"/>
          <w:rtl w:val="0"/>
          <w:lang w:val="zh-TW" w:eastAsia="zh-TW"/>
        </w:rPr>
        <w:t xml:space="preserve"> 嚴詠能的田中央音樂計畫，在數位音樂時代，獨具一格</w:t>
      </w:r>
      <w:r>
        <w:rPr>
          <w:rFonts w:eastAsia="標楷體" w:hint="eastAsia"/>
          <w:kern w:val="0"/>
          <w:rtl w:val="0"/>
          <w:lang w:val="zh-TW" w:eastAsia="zh-TW"/>
        </w:rPr>
        <w:t>。</w:t>
      </w:r>
      <w:r>
        <w:rPr>
          <w:rFonts w:eastAsia="標楷體" w:hint="eastAsia"/>
          <w:kern w:val="0"/>
          <w:rtl w:val="0"/>
          <w:lang w:val="zh-TW" w:eastAsia="zh-TW"/>
        </w:rPr>
        <w:t>他重視社區營造、人我互動，與課綱的在地化、議題素養精神不謀而合。</w:t>
      </w:r>
    </w:p>
    <w:p>
      <w:pPr>
        <w:pStyle w:val="Normal.0"/>
        <w:numPr>
          <w:ilvl w:val="2"/>
          <w:numId w:val="4"/>
        </w:numPr>
        <w:bidi w:val="0"/>
        <w:spacing w:before="180" w:after="180" w:line="360" w:lineRule="auto"/>
        <w:ind w:right="0"/>
        <w:jc w:val="left"/>
        <w:rPr>
          <w:rFonts w:ascii="標楷體" w:cs="標楷體" w:hAnsi="標楷體" w:eastAsia="標楷體" w:hint="eastAsia"/>
          <w:kern w:val="0"/>
          <w:rtl w:val="0"/>
          <w:lang w:val="zh-TW" w:eastAsia="zh-TW"/>
        </w:rPr>
      </w:pPr>
      <w:r>
        <w:rPr>
          <w:rFonts w:eastAsia="標楷體" w:hint="eastAsia"/>
          <w:color w:val="ff0000"/>
          <w:kern w:val="0"/>
          <w:u w:color="ff0000"/>
          <w:rtl w:val="0"/>
          <w:lang w:val="zh-TW" w:eastAsia="zh-TW"/>
        </w:rPr>
        <w:t xml:space="preserve"> 繼上年度教育戲劇課程，教育局卓越藝術教育增能計畫將進行創造性舞蹈工作坊，讓教師從生活坐臥行走如手，學習如何引導學生甚至舞蹈之美</w:t>
      </w:r>
      <w:r>
        <w:rPr>
          <w:rFonts w:eastAsia="標楷體" w:hint="eastAsia"/>
          <w:color w:val="ff0000"/>
          <w:kern w:val="0"/>
          <w:u w:color="ff0000"/>
          <w:rtl w:val="0"/>
          <w:lang w:val="zh-TW" w:eastAsia="zh-TW"/>
        </w:rPr>
        <w:t>。</w:t>
      </w:r>
    </w:p>
    <w:p>
      <w:pPr>
        <w:pStyle w:val="Normal.0"/>
        <w:spacing w:before="180" w:after="180" w:line="360" w:lineRule="auto"/>
        <w:ind w:left="567" w:firstLine="0"/>
        <w:rPr>
          <w:rFonts w:ascii="標楷體" w:cs="標楷體" w:hAnsi="標楷體" w:eastAsia="標楷體"/>
          <w:kern w:val="0"/>
          <w:lang w:val="zh-TW" w:eastAsia="zh-TW"/>
        </w:rPr>
      </w:pPr>
    </w:p>
    <w:p>
      <w:pPr>
        <w:pStyle w:val="Normal.0"/>
        <w:numPr>
          <w:ilvl w:val="0"/>
          <w:numId w:val="2"/>
        </w:numPr>
        <w:bidi w:val="0"/>
        <w:spacing w:before="180" w:after="180" w:line="360" w:lineRule="auto"/>
        <w:ind w:right="0"/>
        <w:jc w:val="left"/>
        <w:rPr>
          <w:rFonts w:ascii="標楷體" w:cs="標楷體" w:hAnsi="標楷體" w:eastAsia="標楷體" w:hint="eastAsia"/>
          <w:color w:val="ff0000"/>
          <w:kern w:val="0"/>
          <w:u w:color="ff0000"/>
          <w:rtl w:val="0"/>
          <w:lang w:val="zh-TW" w:eastAsia="zh-TW"/>
        </w:rPr>
      </w:pPr>
      <w:r>
        <w:rPr>
          <w:rFonts w:eastAsia="標楷體" w:hint="eastAsia"/>
          <w:color w:val="000000"/>
          <w:rtl w:val="0"/>
          <w:lang w:val="zh-TW" w:eastAsia="zh-TW"/>
        </w:rPr>
        <w:t>實施</w:t>
      </w:r>
      <w:r>
        <w:rPr>
          <w:rFonts w:eastAsia="標楷體" w:hint="eastAsia"/>
          <w:color w:val="000000"/>
          <w:kern w:val="0"/>
          <w:rtl w:val="0"/>
          <w:lang w:val="zh-TW" w:eastAsia="zh-TW"/>
        </w:rPr>
        <w:t>方式：</w:t>
      </w:r>
      <w:r>
        <w:rPr>
          <w:rFonts w:eastAsia="標楷體" w:hint="eastAsia"/>
          <w:color w:val="ff0000"/>
          <w:kern w:val="0"/>
          <w:u w:color="ff0000"/>
          <w:rtl w:val="0"/>
          <w:lang w:val="zh-TW" w:eastAsia="zh-TW"/>
        </w:rPr>
        <w:t>【參考方式如下】</w:t>
      </w:r>
    </w:p>
    <w:p>
      <w:pPr>
        <w:pStyle w:val="Normal.0"/>
        <w:widowControl w:val="1"/>
        <w:tabs>
          <w:tab w:val="left" w:pos="142"/>
          <w:tab w:val="left" w:pos="2410"/>
          <w:tab w:val="left" w:pos="4820"/>
          <w:tab w:val="left" w:pos="6804"/>
        </w:tabs>
        <w:spacing w:line="360" w:lineRule="auto"/>
        <w:rPr>
          <w:rFonts w:ascii="標楷體" w:cs="標楷體" w:hAnsi="標楷體" w:eastAsia="標楷體"/>
          <w:color w:val="ff0000"/>
          <w:kern w:val="0"/>
          <w:u w:color="ff0000"/>
          <w:lang w:val="zh-TW" w:eastAsia="zh-TW"/>
        </w:rPr>
      </w:pPr>
      <w:r>
        <w:rPr>
          <w:rFonts w:eastAsia="標楷體" w:hint="eastAsia"/>
          <w:color w:val="ff0000"/>
          <w:kern w:val="0"/>
          <w:u w:color="ff0000"/>
          <w:rtl w:val="0"/>
          <w:lang w:val="zh-TW" w:eastAsia="zh-TW"/>
        </w:rPr>
        <w:t>（一）內外聘講座</w:t>
      </w:r>
    </w:p>
    <w:p>
      <w:pPr>
        <w:pStyle w:val="Normal.0"/>
        <w:widowControl w:val="1"/>
        <w:tabs>
          <w:tab w:val="left" w:pos="142"/>
          <w:tab w:val="left" w:pos="2410"/>
          <w:tab w:val="left" w:pos="4820"/>
          <w:tab w:val="left" w:pos="6804"/>
        </w:tabs>
        <w:spacing w:line="360" w:lineRule="auto"/>
        <w:rPr>
          <w:rFonts w:ascii="標楷體" w:cs="標楷體" w:hAnsi="標楷體" w:eastAsia="標楷體"/>
          <w:color w:val="ff0000"/>
          <w:kern w:val="0"/>
          <w:u w:color="ff0000"/>
          <w:lang w:val="zh-TW" w:eastAsia="zh-TW"/>
        </w:rPr>
      </w:pPr>
      <w:r>
        <w:rPr>
          <w:rFonts w:eastAsia="標楷體" w:hint="eastAsia"/>
          <w:color w:val="ff0000"/>
          <w:kern w:val="0"/>
          <w:u w:color="ff0000"/>
          <w:rtl w:val="0"/>
          <w:lang w:val="zh-TW" w:eastAsia="zh-TW"/>
        </w:rPr>
        <w:t>（二）分組討論</w:t>
      </w:r>
    </w:p>
    <w:p>
      <w:pPr>
        <w:pStyle w:val="Normal.0"/>
        <w:widowControl w:val="1"/>
        <w:tabs>
          <w:tab w:val="left" w:pos="142"/>
          <w:tab w:val="left" w:pos="2410"/>
          <w:tab w:val="left" w:pos="4820"/>
          <w:tab w:val="left" w:pos="6804"/>
        </w:tabs>
        <w:spacing w:line="360" w:lineRule="auto"/>
        <w:rPr>
          <w:rFonts w:ascii="標楷體" w:cs="標楷體" w:hAnsi="標楷體" w:eastAsia="標楷體"/>
          <w:color w:val="ff0000"/>
          <w:kern w:val="0"/>
          <w:u w:color="ff0000"/>
        </w:rPr>
      </w:pPr>
      <w:r>
        <w:rPr>
          <w:rFonts w:eastAsia="標楷體" w:hint="eastAsia"/>
          <w:color w:val="ff0000"/>
          <w:kern w:val="0"/>
          <w:u w:color="ff0000"/>
          <w:rtl w:val="0"/>
          <w:lang w:val="zh-TW" w:eastAsia="zh-TW"/>
        </w:rPr>
        <w:t>（六）公開觀課</w:t>
      </w:r>
      <w:r>
        <w:rPr>
          <w:rFonts w:ascii="標楷體" w:cs="標楷體" w:hAnsi="標楷體" w:eastAsia="標楷體"/>
          <w:color w:val="ff0000"/>
          <w:kern w:val="0"/>
          <w:u w:color="ff0000"/>
          <w:lang w:val="en-US"/>
        </w:rPr>
        <w:tab/>
      </w:r>
    </w:p>
    <w:p>
      <w:pPr>
        <w:pStyle w:val="Normal.0"/>
        <w:widowControl w:val="1"/>
        <w:tabs>
          <w:tab w:val="left" w:pos="142"/>
          <w:tab w:val="left" w:pos="2410"/>
          <w:tab w:val="left" w:pos="4820"/>
          <w:tab w:val="left" w:pos="6804"/>
        </w:tabs>
        <w:spacing w:line="360" w:lineRule="auto"/>
        <w:rPr>
          <w:rFonts w:ascii="標楷體" w:cs="標楷體" w:hAnsi="標楷體" w:eastAsia="標楷體"/>
          <w:kern w:val="0"/>
          <w:lang w:val="zh-TW" w:eastAsia="zh-TW"/>
        </w:rPr>
      </w:pPr>
      <w:r>
        <w:rPr>
          <w:rFonts w:eastAsia="標楷體" w:hint="eastAsia"/>
          <w:color w:val="ff0000"/>
          <w:kern w:val="0"/>
          <w:u w:color="ff0000"/>
          <w:rtl w:val="0"/>
          <w:lang w:val="zh-TW" w:eastAsia="zh-TW"/>
        </w:rPr>
        <w:t>（七）校外參訪</w:t>
      </w:r>
      <w:r>
        <w:rPr>
          <w:rFonts w:eastAsia="標楷體" w:hint="eastAsia"/>
          <w:rtl w:val="0"/>
          <w:lang w:val="zh-TW" w:eastAsia="zh-TW"/>
        </w:rPr>
        <w:t>參加</w:t>
      </w:r>
      <w:r>
        <w:rPr>
          <w:rFonts w:eastAsia="標楷體" w:hint="eastAsia"/>
          <w:kern w:val="0"/>
          <w:rtl w:val="0"/>
          <w:lang w:val="zh-TW" w:eastAsia="zh-TW"/>
        </w:rPr>
        <w:t>人員：領域全體教師。</w:t>
      </w:r>
    </w:p>
    <w:tbl>
      <w:tblPr>
        <w:tblW w:w="9287" w:type="dxa"/>
        <w:jc w:val="left"/>
        <w:tblInd w:w="67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22"/>
        <w:gridCol w:w="2321"/>
        <w:gridCol w:w="2322"/>
        <w:gridCol w:w="2322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80" w:after="18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教師姓名</w:t>
            </w:r>
          </w:p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80" w:after="18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擔任職務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80" w:after="18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授課科目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80" w:after="18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授課年級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張幼玫</w:t>
            </w:r>
          </w:p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專任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表演藝術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80" w:after="18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八年級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廖經華</w:t>
            </w:r>
          </w:p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專任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音樂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80" w:after="18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八、九年級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董璘</w:t>
            </w:r>
          </w:p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專任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音樂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80" w:after="18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七、九年級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林欣美</w:t>
            </w:r>
          </w:p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專任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視覺藝術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80" w:after="180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七、九年級</w:t>
            </w:r>
          </w:p>
        </w:tc>
      </w:tr>
    </w:tbl>
    <w:p>
      <w:pPr>
        <w:pStyle w:val="Normal.0"/>
        <w:tabs>
          <w:tab w:val="left" w:pos="142"/>
          <w:tab w:val="left" w:pos="2410"/>
          <w:tab w:val="left" w:pos="4820"/>
          <w:tab w:val="left" w:pos="6804"/>
        </w:tabs>
        <w:ind w:left="567" w:hanging="567"/>
        <w:rPr>
          <w:rFonts w:ascii="標楷體" w:cs="標楷體" w:hAnsi="標楷體" w:eastAsia="標楷體"/>
          <w:kern w:val="0"/>
          <w:lang w:val="zh-TW" w:eastAsia="zh-TW"/>
        </w:rPr>
      </w:pPr>
    </w:p>
    <w:p>
      <w:pPr>
        <w:pStyle w:val="Normal.0"/>
        <w:numPr>
          <w:ilvl w:val="0"/>
          <w:numId w:val="5"/>
        </w:numPr>
        <w:bidi w:val="0"/>
        <w:spacing w:before="180" w:after="180" w:line="360" w:lineRule="auto"/>
        <w:ind w:right="0"/>
        <w:jc w:val="left"/>
        <w:rPr>
          <w:rFonts w:ascii="標楷體" w:cs="標楷體" w:hAnsi="標楷體" w:eastAsia="標楷體" w:hint="eastAsia"/>
          <w:kern w:val="0"/>
          <w:rtl w:val="0"/>
          <w:lang w:val="zh-TW" w:eastAsia="zh-TW"/>
        </w:rPr>
      </w:pPr>
      <w:r>
        <w:rPr>
          <w:rFonts w:eastAsia="標楷體" w:hint="eastAsia"/>
          <w:kern w:val="0"/>
          <w:rtl w:val="0"/>
          <w:lang w:val="zh-TW" w:eastAsia="zh-TW"/>
        </w:rPr>
        <w:t>工作坊流程</w:t>
      </w:r>
    </w:p>
    <w:tbl>
      <w:tblPr>
        <w:tblW w:w="8362" w:type="dxa"/>
        <w:jc w:val="center"/>
        <w:tblInd w:w="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0"/>
        <w:gridCol w:w="1202"/>
        <w:gridCol w:w="3402"/>
        <w:gridCol w:w="1701"/>
        <w:gridCol w:w="1487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360" w:lineRule="auto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場次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360" w:lineRule="auto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日期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360" w:lineRule="auto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課程內容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360" w:lineRule="auto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講座或負責人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360" w:lineRule="auto"/>
              <w:jc w:val="center"/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活動時間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Times New Roman" w:hAnsi="Times New Roman"/>
                <w:rtl w:val="0"/>
              </w:rPr>
              <w:t>3/7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新細明體" w:hint="eastAsia"/>
                <w:rtl w:val="0"/>
                <w:lang w:val="zh-TW" w:eastAsia="zh-TW"/>
              </w:rPr>
              <w:t>戲劇教育實務食物分享會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新細明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張幼玫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8:30-</w:t>
            </w:r>
            <w:r>
              <w:rPr>
                <w:rtl w:val="0"/>
                <w:lang w:val="en-US"/>
              </w:rPr>
              <w:t>16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:00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3/18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新細明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卓越藝術增能・</w:t>
            </w:r>
            <w:r>
              <w:rPr>
                <w:rFonts w:eastAsia="新細明體" w:hint="eastAsia"/>
                <w:rtl w:val="0"/>
                <w:lang w:val="zh-TW" w:eastAsia="zh-TW"/>
              </w:rPr>
              <w:t>視覺・布釦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Times New Roman" w:hint="eastAsia"/>
                <w:rtl w:val="0"/>
              </w:rPr>
              <w:t>高嘉宏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8:30-12:00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Times New Roman" w:hAnsi="Times New Roman"/>
                <w:rtl w:val="0"/>
              </w:rPr>
              <w:t>04/17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新細明體" w:hint="eastAsia"/>
                <w:rtl w:val="0"/>
                <w:lang w:val="zh-TW" w:eastAsia="zh-TW"/>
              </w:rPr>
              <w:t>期中教學研究會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新細明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張幼玫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8:30-12:00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5/16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Times New Roman" w:hint="eastAsia"/>
                <w:rtl w:val="0"/>
              </w:rPr>
              <w:t>卓越藝術增能・視覺・數位與貼圖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Times New Roman" w:hint="eastAsia"/>
                <w:rtl w:val="0"/>
              </w:rPr>
              <w:t>陳育淳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8:30-12:00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Times New Roman" w:hAnsi="Times New Roman"/>
                <w:rtl w:val="0"/>
              </w:rPr>
              <w:t>5/23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新細明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卓越增能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・音樂・田中央的歌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Times New Roman" w:hint="eastAsia"/>
                <w:rtl w:val="0"/>
              </w:rPr>
              <w:t>嚴詠能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8:30-12:00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Times New Roman" w:hAnsi="Times New Roman"/>
                <w:rtl w:val="0"/>
              </w:rPr>
              <w:t>6/16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Times New Roman" w:hint="eastAsia"/>
                <w:rtl w:val="0"/>
              </w:rPr>
              <w:t>卓越藝術教育增能・表演・創造性舞蹈一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Times New Roman" w:hint="eastAsia"/>
                <w:rtl w:val="0"/>
              </w:rPr>
              <w:t>劉淑英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8:30-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16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:00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Times New Roman" w:hAnsi="Times New Roman"/>
                <w:rtl w:val="0"/>
              </w:rPr>
              <w:t>6/20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Times New Roman" w:hint="eastAsia"/>
                <w:rtl w:val="0"/>
              </w:rPr>
              <w:t>卓越藝術教育增能・表演・創造性舞蹈二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Times New Roman" w:hint="eastAsia"/>
                <w:rtl w:val="0"/>
              </w:rPr>
              <w:t>劉淑英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8:30-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16</w:t>
            </w:r>
          </w:p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:00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Times New Roman" w:hAnsi="Times New Roman"/>
                <w:rtl w:val="0"/>
              </w:rPr>
              <w:t>6/4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新細明體" w:hint="eastAsia"/>
                <w:rtl w:val="0"/>
                <w:lang w:val="zh-TW" w:eastAsia="zh-TW"/>
              </w:rPr>
              <w:t>石牌・大直聯合管樂發表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Times New Roman" w:hint="eastAsia"/>
                <w:rtl w:val="0"/>
              </w:rPr>
              <w:t>廖經華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tl w:val="0"/>
                <w:lang w:val="en-US"/>
              </w:rPr>
              <w:t>15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:30-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16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Times New Roman" w:hAnsi="Times New Roman"/>
                <w:rtl w:val="0"/>
              </w:rPr>
              <w:t>6/13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新細明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期末教學研究會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eastAsia="新細明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張幼玫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8:30-12:00</w:t>
            </w:r>
          </w:p>
        </w:tc>
      </w:tr>
    </w:tbl>
    <w:p>
      <w:pPr>
        <w:pStyle w:val="Normal.0"/>
        <w:numPr>
          <w:ilvl w:val="0"/>
          <w:numId w:val="6"/>
        </w:numPr>
        <w:spacing w:before="180" w:after="180"/>
        <w:jc w:val="center"/>
        <w:rPr>
          <w:kern w:val="0"/>
          <w:lang w:val="zh-TW" w:eastAsia="zh-TW"/>
        </w:rPr>
      </w:pPr>
    </w:p>
    <w:p>
      <w:pPr>
        <w:pStyle w:val="Normal.0"/>
        <w:widowControl w:val="1"/>
        <w:spacing w:before="100" w:after="100" w:line="360" w:lineRule="auto"/>
        <w:ind w:left="960" w:hanging="960"/>
        <w:rPr>
          <w:rFonts w:ascii="標楷體" w:cs="標楷體" w:hAnsi="標楷體" w:eastAsia="標楷體"/>
          <w:kern w:val="0"/>
          <w:lang w:val="zh-TW" w:eastAsia="zh-TW"/>
        </w:rPr>
      </w:pPr>
      <w:r>
        <w:rPr>
          <w:rFonts w:eastAsia="標楷體" w:hint="eastAsia"/>
          <w:kern w:val="0"/>
          <w:rtl w:val="0"/>
          <w:lang w:val="zh-TW" w:eastAsia="zh-TW"/>
        </w:rPr>
        <w:t>六、預期效益：</w:t>
      </w:r>
    </w:p>
    <w:p>
      <w:pPr>
        <w:pStyle w:val="Normal.0"/>
        <w:widowControl w:val="1"/>
        <w:spacing w:before="100" w:after="100" w:line="360" w:lineRule="auto"/>
        <w:ind w:left="960" w:hanging="960"/>
        <w:rPr>
          <w:rFonts w:ascii="標楷體" w:cs="標楷體" w:hAnsi="標楷體" w:eastAsia="標楷體"/>
          <w:kern w:val="0"/>
          <w:lang w:val="zh-TW" w:eastAsia="zh-TW"/>
        </w:rPr>
      </w:pPr>
      <w:r>
        <w:rPr>
          <w:rFonts w:eastAsia="標楷體" w:hint="eastAsia"/>
          <w:kern w:val="0"/>
          <w:rtl w:val="0"/>
          <w:lang w:val="zh-TW" w:eastAsia="zh-TW"/>
        </w:rPr>
        <w:t>（一）拓展教師藝術專業視野。</w:t>
      </w:r>
    </w:p>
    <w:p>
      <w:pPr>
        <w:pStyle w:val="Normal.0"/>
        <w:widowControl w:val="1"/>
        <w:spacing w:before="100" w:after="100" w:line="360" w:lineRule="auto"/>
        <w:ind w:left="960" w:hanging="960"/>
        <w:rPr>
          <w:rFonts w:ascii="標楷體" w:cs="標楷體" w:hAnsi="標楷體" w:eastAsia="標楷體"/>
          <w:kern w:val="0"/>
          <w:lang w:val="zh-TW" w:eastAsia="zh-TW"/>
        </w:rPr>
      </w:pPr>
      <w:r>
        <w:rPr>
          <w:rFonts w:eastAsia="標楷體" w:hint="eastAsia"/>
          <w:kern w:val="0"/>
          <w:rtl w:val="0"/>
          <w:lang w:val="zh-TW" w:eastAsia="zh-TW"/>
        </w:rPr>
        <w:t>（二）精進教師專業教學能力。</w:t>
      </w:r>
    </w:p>
    <w:p>
      <w:pPr>
        <w:pStyle w:val="Normal.0"/>
        <w:widowControl w:val="1"/>
        <w:spacing w:before="100" w:after="100" w:line="360" w:lineRule="auto"/>
        <w:ind w:left="960" w:hanging="960"/>
        <w:rPr>
          <w:rFonts w:ascii="標楷體" w:cs="標楷體" w:hAnsi="標楷體" w:eastAsia="標楷體"/>
          <w:color w:val="ff0000"/>
          <w:kern w:val="0"/>
          <w:u w:color="ff0000"/>
          <w:lang w:val="zh-TW" w:eastAsia="zh-TW"/>
        </w:rPr>
      </w:pPr>
      <w:r>
        <w:rPr>
          <w:rFonts w:eastAsia="標楷體" w:hint="eastAsia"/>
          <w:kern w:val="0"/>
          <w:rtl w:val="0"/>
          <w:lang w:val="zh-TW" w:eastAsia="zh-TW"/>
        </w:rPr>
        <w:t>（三）調整學生學習內容，協助學生有效學習。</w:t>
      </w:r>
    </w:p>
    <w:p>
      <w:pPr>
        <w:pStyle w:val="Normal.0"/>
        <w:widowControl w:val="1"/>
        <w:spacing w:before="100" w:after="100" w:line="360" w:lineRule="auto"/>
        <w:ind w:left="960" w:hanging="960"/>
        <w:rPr>
          <w:rFonts w:ascii="標楷體" w:cs="標楷體" w:hAnsi="標楷體" w:eastAsia="標楷體"/>
          <w:color w:val="ff0000"/>
          <w:kern w:val="0"/>
          <w:u w:color="ff0000"/>
          <w:lang w:val="zh-TW" w:eastAsia="zh-TW"/>
        </w:rPr>
      </w:pPr>
      <w:r>
        <w:rPr>
          <w:rFonts w:eastAsia="標楷體" w:hint="eastAsia"/>
          <w:kern w:val="0"/>
          <w:rtl w:val="0"/>
          <w:lang w:val="zh-TW" w:eastAsia="zh-TW"/>
        </w:rPr>
        <w:t>七、經費與行政協同：</w:t>
      </w:r>
    </w:p>
    <w:p>
      <w:pPr>
        <w:pStyle w:val="Normal.0"/>
        <w:widowControl w:val="1"/>
        <w:spacing w:before="100" w:after="100" w:line="360" w:lineRule="auto"/>
        <w:ind w:left="960" w:hanging="960"/>
        <w:rPr>
          <w:rFonts w:ascii="標楷體" w:cs="標楷體" w:hAnsi="標楷體" w:eastAsia="標楷體"/>
          <w:kern w:val="0"/>
          <w:lang w:val="zh-TW" w:eastAsia="zh-TW"/>
        </w:rPr>
      </w:pPr>
      <w:r>
        <w:rPr>
          <w:rFonts w:eastAsia="標楷體" w:hint="eastAsia"/>
          <w:kern w:val="0"/>
          <w:rtl w:val="0"/>
          <w:lang w:val="zh-TW" w:eastAsia="zh-TW"/>
        </w:rPr>
        <w:t>配合各校活化教學經費協助社群發展。</w:t>
      </w:r>
    </w:p>
    <w:p>
      <w:pPr>
        <w:pStyle w:val="Normal.0"/>
        <w:widowControl w:val="1"/>
        <w:spacing w:before="100" w:after="100" w:line="360" w:lineRule="auto"/>
        <w:ind w:left="960" w:hanging="960"/>
        <w:rPr>
          <w:rFonts w:ascii="標楷體" w:cs="標楷體" w:hAnsi="標楷體" w:eastAsia="標楷體"/>
          <w:color w:val="ff0000"/>
          <w:kern w:val="0"/>
          <w:u w:color="ff0000"/>
          <w:lang w:val="zh-TW" w:eastAsia="zh-TW"/>
        </w:rPr>
      </w:pPr>
      <w:r>
        <w:rPr>
          <w:rFonts w:eastAsia="標楷體" w:hint="eastAsia"/>
          <w:kern w:val="0"/>
          <w:rtl w:val="0"/>
          <w:lang w:val="zh-TW" w:eastAsia="zh-TW"/>
        </w:rPr>
        <w:t>八、檢核與回饋方式：</w:t>
      </w:r>
    </w:p>
    <w:p>
      <w:pPr>
        <w:pStyle w:val="Normal.0"/>
        <w:widowControl w:val="1"/>
        <w:spacing w:before="100" w:after="100" w:line="360" w:lineRule="auto"/>
        <w:ind w:left="960" w:hanging="960"/>
        <w:rPr>
          <w:rFonts w:ascii="標楷體" w:cs="標楷體" w:hAnsi="標楷體" w:eastAsia="標楷體"/>
          <w:kern w:val="0"/>
          <w:lang w:val="zh-TW" w:eastAsia="zh-TW"/>
        </w:rPr>
      </w:pPr>
      <w:r>
        <w:rPr>
          <w:rFonts w:eastAsia="標楷體" w:hint="eastAsia"/>
          <w:kern w:val="0"/>
          <w:rtl w:val="0"/>
          <w:lang w:val="zh-TW" w:eastAsia="zh-TW"/>
        </w:rPr>
        <w:t>填寫相關回饋表單，並置於領域統整資料與教師個別教學檔案中。</w:t>
      </w:r>
    </w:p>
    <w:p>
      <w:pPr>
        <w:pStyle w:val="Normal.0"/>
        <w:widowControl w:val="1"/>
        <w:spacing w:before="100" w:after="100" w:line="360" w:lineRule="auto"/>
        <w:ind w:left="960" w:hanging="960"/>
      </w:pPr>
      <w:r>
        <w:rPr>
          <w:rFonts w:eastAsia="標楷體" w:hint="eastAsia"/>
          <w:kern w:val="0"/>
          <w:rtl w:val="0"/>
          <w:lang w:val="zh-TW" w:eastAsia="zh-TW"/>
        </w:rPr>
        <w:t>九、本計畫經領域專業學習社群討論後經校長核可後實施。</w:t>
      </w:r>
      <w:r>
        <w:rPr>
          <w:rFonts w:ascii="標楷體" w:cs="標楷體" w:hAnsi="標楷體" w:eastAsia="標楷體"/>
          <w:kern w:val="0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  <w:font w:name="新細明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輸入樣式 1"/>
  </w:abstractNum>
  <w:abstractNum w:abstractNumId="1">
    <w:multiLevelType w:val="hybridMultilevel"/>
    <w:styleLink w:val="已輸入樣式 1"/>
    <w:lvl w:ilvl="0">
      <w:start w:val="1"/>
      <w:numFmt w:val="taiwaneseCounting"/>
      <w:suff w:val="nothing"/>
      <w:lvlText w:val="%1."/>
      <w:lvlJc w:val="left"/>
      <w:pPr>
        <w:tabs>
          <w:tab w:val="left" w:pos="17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ideographDigital"/>
      <w:suff w:val="nothing"/>
      <w:lvlText w:val="(%2)"/>
      <w:lvlJc w:val="left"/>
      <w:pPr>
        <w:tabs>
          <w:tab w:val="left" w:pos="170"/>
        </w:tabs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taiwaneseCounting"/>
      <w:suff w:val="nothing"/>
      <w:lvlText w:val="%4."/>
      <w:lvlJc w:val="left"/>
      <w:pPr>
        <w:ind w:left="184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2551"/>
        </w:tabs>
        <w:ind w:left="3005" w:hanging="1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num" w:pos="3260"/>
        </w:tabs>
        <w:ind w:left="3714" w:hanging="1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(%7)"/>
      <w:lvlJc w:val="left"/>
      <w:pPr>
        <w:tabs>
          <w:tab w:val="num" w:pos="3827"/>
        </w:tabs>
        <w:ind w:left="4281" w:hanging="17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4394"/>
        </w:tabs>
        <w:ind w:left="4848" w:hanging="1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num" w:pos="5102"/>
        </w:tabs>
        <w:ind w:left="5556" w:hanging="2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taiwaneseCounting"/>
        <w:suff w:val="nothing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ideographDigital"/>
        <w:suff w:val="nothing"/>
        <w:lvlText w:val="(%2)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133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taiwaneseCounting"/>
        <w:suff w:val="nothing"/>
        <w:lvlText w:val="%4."/>
        <w:lvlJc w:val="left"/>
        <w:pPr>
          <w:ind w:left="1558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2266"/>
          </w:tabs>
          <w:ind w:left="2434" w:hanging="7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num" w:pos="2975"/>
          </w:tabs>
          <w:ind w:left="3143" w:hanging="10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(%7)"/>
        <w:lvlJc w:val="left"/>
        <w:pPr>
          <w:tabs>
            <w:tab w:val="num" w:pos="3542"/>
          </w:tabs>
          <w:ind w:left="3710" w:hanging="1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4109"/>
          </w:tabs>
          <w:ind w:left="4277" w:hanging="1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num" w:pos="4817"/>
          </w:tabs>
          <w:ind w:left="4985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taiwaneseCounting"/>
        <w:suff w:val="nothing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ideographDigital"/>
        <w:suff w:val="nothing"/>
        <w:lvlText w:val="(%2)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taiwaneseCounting"/>
        <w:suff w:val="nothing"/>
        <w:lvlText w:val="%4."/>
        <w:lvlJc w:val="left"/>
        <w:pPr>
          <w:ind w:left="155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2267"/>
          </w:tabs>
          <w:ind w:left="2437" w:hanging="7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num" w:pos="2976"/>
          </w:tabs>
          <w:ind w:left="3146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(%7)"/>
        <w:lvlJc w:val="left"/>
        <w:pPr>
          <w:tabs>
            <w:tab w:val="num" w:pos="3543"/>
          </w:tabs>
          <w:ind w:left="3713" w:hanging="11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4110"/>
          </w:tabs>
          <w:ind w:left="4280" w:hanging="1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num" w:pos="4818"/>
          </w:tabs>
          <w:ind w:left="4988" w:hanging="15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6"/>
    </w:lvlOverride>
  </w:num>
  <w:num w:numId="6">
    <w:abstractNumId w:val="0"/>
    <w:lvlOverride w:ilvl="0">
      <w:lvl w:ilvl="0">
        <w:start w:val="1"/>
        <w:numFmt w:val="taiwaneseCounting"/>
        <w:suff w:val="nothing"/>
        <w:lvlText w:val="%1."/>
        <w:lvlJc w:val="left"/>
        <w:pPr>
          <w:tabs>
            <w:tab w:val="left" w:pos="170"/>
          </w:tabs>
          <w:ind w:left="193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ideographDigital"/>
        <w:suff w:val="nothing"/>
        <w:lvlText w:val="(%2)"/>
        <w:lvlJc w:val="left"/>
        <w:pPr>
          <w:tabs>
            <w:tab w:val="left" w:pos="170"/>
          </w:tabs>
          <w:ind w:left="760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70"/>
          </w:tabs>
          <w:ind w:left="1044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taiwaneseCounting"/>
        <w:suff w:val="nothing"/>
        <w:lvlText w:val="%4."/>
        <w:lvlJc w:val="left"/>
        <w:pPr>
          <w:tabs>
            <w:tab w:val="left" w:pos="170"/>
          </w:tabs>
          <w:ind w:left="1469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70"/>
            <w:tab w:val="num" w:pos="2551"/>
          </w:tabs>
          <w:ind w:left="2631" w:hanging="9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70"/>
            <w:tab w:val="num" w:pos="3260"/>
          </w:tabs>
          <w:ind w:left="3340" w:hanging="1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(%7)"/>
        <w:lvlJc w:val="left"/>
        <w:pPr>
          <w:tabs>
            <w:tab w:val="left" w:pos="170"/>
            <w:tab w:val="num" w:pos="3827"/>
          </w:tabs>
          <w:ind w:left="3907" w:hanging="1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70"/>
            <w:tab w:val="num" w:pos="4394"/>
          </w:tabs>
          <w:ind w:left="4474" w:hanging="1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70"/>
            <w:tab w:val="num" w:pos="5102"/>
          </w:tabs>
          <w:ind w:left="5182" w:hanging="17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numbering" w:styleId="已輸入樣式 1">
    <w:name w:val="已輸入樣式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8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