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標楷體" w:cs="標楷體" w:hAnsi="標楷體" w:eastAsia="標楷體"/>
          <w:sz w:val="28"/>
          <w:szCs w:val="28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臺北市立大直高級中學國中部藝文領域專業學習社群</w:t>
      </w:r>
    </w:p>
    <w:p>
      <w:pPr>
        <w:pStyle w:val="Normal.0"/>
        <w:jc w:val="center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/>
          <w:sz w:val="28"/>
          <w:szCs w:val="28"/>
          <w:rtl w:val="0"/>
          <w:lang w:val="en-US"/>
        </w:rPr>
        <w:t>105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學年度第一學期 活化教學知能工作坊計畫</w:t>
      </w:r>
    </w:p>
    <w:p>
      <w:pPr>
        <w:pStyle w:val="Normal.0"/>
        <w:numPr>
          <w:ilvl w:val="0"/>
          <w:numId w:val="2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 w:hint="eastAsia"/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依據：</w:t>
      </w:r>
      <w:r>
        <w:rPr>
          <w:rFonts w:ascii="標楷體" w:hAnsi="標楷體"/>
          <w:rtl w:val="0"/>
          <w:lang w:val="en-US"/>
        </w:rPr>
        <w:t>105</w:t>
      </w:r>
      <w:r>
        <w:rPr>
          <w:rFonts w:eastAsia="標楷體" w:hint="eastAsia"/>
          <w:rtl w:val="0"/>
          <w:lang w:val="zh-TW" w:eastAsia="zh-TW"/>
        </w:rPr>
        <w:t>年</w:t>
      </w:r>
      <w:r>
        <w:rPr>
          <w:rFonts w:ascii="標楷體" w:hAnsi="標楷體"/>
          <w:rtl w:val="0"/>
          <w:lang w:val="en-US"/>
        </w:rPr>
        <w:t xml:space="preserve"> 9 </w:t>
      </w:r>
      <w:r>
        <w:rPr>
          <w:rFonts w:eastAsia="標楷體" w:hint="eastAsia"/>
          <w:rtl w:val="0"/>
          <w:lang w:val="zh-TW" w:eastAsia="zh-TW"/>
        </w:rPr>
        <w:t>月</w:t>
      </w:r>
      <w:r>
        <w:rPr>
          <w:rFonts w:ascii="標楷體" w:hAnsi="標楷體"/>
          <w:rtl w:val="0"/>
          <w:lang w:val="en-US"/>
        </w:rPr>
        <w:t xml:space="preserve"> 2 </w:t>
      </w:r>
      <w:r>
        <w:rPr>
          <w:rFonts w:eastAsia="標楷體" w:hint="eastAsia"/>
          <w:rtl w:val="0"/>
          <w:lang w:val="zh-TW" w:eastAsia="zh-TW"/>
        </w:rPr>
        <w:t>日教育局北市教中字第</w:t>
      </w:r>
      <w:r>
        <w:rPr>
          <w:rFonts w:ascii="標楷體" w:hAnsi="標楷體"/>
          <w:rtl w:val="0"/>
          <w:lang w:val="en-US"/>
        </w:rPr>
        <w:t>10538970500</w:t>
      </w:r>
      <w:r>
        <w:rPr>
          <w:rFonts w:eastAsia="標楷體" w:hint="eastAsia"/>
          <w:rtl w:val="0"/>
          <w:lang w:val="zh-TW" w:eastAsia="zh-TW"/>
        </w:rPr>
        <w:t>號函。</w:t>
      </w:r>
    </w:p>
    <w:p>
      <w:pPr>
        <w:pStyle w:val="Normal.0"/>
        <w:numPr>
          <w:ilvl w:val="0"/>
          <w:numId w:val="2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 w:hint="eastAsia"/>
          <w:kern w:val="0"/>
          <w:rtl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目標：</w:t>
      </w: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結合教育局卓越藝術教育增能與亮點計畫，共同備課，提升教師專業知能。</w:t>
      </w:r>
    </w:p>
    <w:p>
      <w:pPr>
        <w:pStyle w:val="Normal.0"/>
        <w:numPr>
          <w:ilvl w:val="0"/>
          <w:numId w:val="2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 w:hint="eastAsia"/>
          <w:kern w:val="0"/>
          <w:rtl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工作坊主題：</w:t>
      </w:r>
      <w:r>
        <w:rPr>
          <w:rFonts w:ascii="標楷體" w:hAnsi="標楷體"/>
          <w:kern w:val="0"/>
          <w:rtl w:val="0"/>
          <w:lang w:val="en-US"/>
        </w:rPr>
        <w:t xml:space="preserve"> </w:t>
      </w:r>
    </w:p>
    <w:p>
      <w:pPr>
        <w:pStyle w:val="Normal.0"/>
        <w:numPr>
          <w:ilvl w:val="2"/>
          <w:numId w:val="2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/>
          <w:kern w:val="0"/>
          <w:rtl w:val="0"/>
          <w:lang w:val="en-US"/>
        </w:rPr>
      </w:pPr>
      <w:r>
        <w:rPr>
          <w:rFonts w:ascii="標楷體" w:hAnsi="標楷體"/>
          <w:kern w:val="0"/>
          <w:rtl w:val="0"/>
          <w:lang w:val="en-US"/>
        </w:rPr>
        <w:t xml:space="preserve"> 106</w:t>
      </w: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台北市教育局卓越藝術教育</w:t>
      </w:r>
      <w:r>
        <w:rPr>
          <w:rFonts w:eastAsia="標楷體" w:hint="eastAsia"/>
          <w:kern w:val="0"/>
          <w:rtl w:val="0"/>
          <w:lang w:val="zh-TW" w:eastAsia="zh-TW"/>
        </w:rPr>
        <w:t>相關研習。</w:t>
      </w:r>
    </w:p>
    <w:p>
      <w:pPr>
        <w:pStyle w:val="Normal.0"/>
        <w:numPr>
          <w:ilvl w:val="2"/>
          <w:numId w:val="3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/>
          <w:kern w:val="0"/>
          <w:rtl w:val="0"/>
          <w:lang w:val="zh-TW" w:eastAsia="zh-TW"/>
        </w:rPr>
      </w:pPr>
      <w:r>
        <w:rPr>
          <w:rFonts w:ascii="標楷體" w:hAnsi="標楷體"/>
          <w:kern w:val="0"/>
          <w:rtl w:val="0"/>
          <w:lang w:val="zh-TW" w:eastAsia="zh-TW"/>
        </w:rPr>
        <w:t xml:space="preserve"> </w:t>
      </w:r>
      <w:r>
        <w:rPr>
          <w:rFonts w:eastAsia="標楷體" w:hint="eastAsia"/>
          <w:kern w:val="0"/>
          <w:rtl w:val="0"/>
          <w:lang w:val="zh-TW" w:eastAsia="zh-TW"/>
        </w:rPr>
        <w:t>當代視覺、音樂、表演藝術教學趨勢與課程設計。</w:t>
      </w:r>
    </w:p>
    <w:p>
      <w:pPr>
        <w:pStyle w:val="Normal.0"/>
        <w:numPr>
          <w:ilvl w:val="0"/>
          <w:numId w:val="2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 w:hint="eastAsia"/>
          <w:kern w:val="0"/>
          <w:rtl w:val="0"/>
          <w:lang w:val="zh-TW" w:eastAsia="zh-TW"/>
        </w:rPr>
      </w:pPr>
      <w:r>
        <w:rPr>
          <w:rFonts w:eastAsia="標楷體" w:hint="eastAsia"/>
          <w:rtl w:val="0"/>
          <w:lang w:val="zh-TW" w:eastAsia="zh-TW"/>
        </w:rPr>
        <w:t>主題</w:t>
      </w:r>
      <w:r>
        <w:rPr>
          <w:rFonts w:eastAsia="標楷體" w:hint="eastAsia"/>
          <w:kern w:val="0"/>
          <w:rtl w:val="0"/>
          <w:lang w:val="zh-TW" w:eastAsia="zh-TW"/>
        </w:rPr>
        <w:t>簡介：</w:t>
      </w:r>
      <w:r>
        <w:rPr>
          <w:rFonts w:ascii="標楷體" w:hAnsi="標楷體"/>
          <w:kern w:val="0"/>
          <w:rtl w:val="0"/>
          <w:lang w:val="en-US"/>
        </w:rPr>
        <w:t xml:space="preserve"> </w:t>
      </w:r>
    </w:p>
    <w:p>
      <w:pPr>
        <w:pStyle w:val="Normal.0"/>
        <w:numPr>
          <w:ilvl w:val="2"/>
          <w:numId w:val="4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/>
          <w:kern w:val="0"/>
          <w:rtl w:val="0"/>
          <w:lang w:val="zh-TW" w:eastAsia="zh-TW"/>
        </w:rPr>
      </w:pPr>
      <w:r>
        <w:rPr>
          <w:rFonts w:ascii="標楷體" w:hAnsi="標楷體"/>
          <w:kern w:val="0"/>
          <w:rtl w:val="0"/>
          <w:lang w:val="zh-TW" w:eastAsia="zh-TW"/>
        </w:rPr>
        <w:t xml:space="preserve"> </w:t>
      </w: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視覺藝術：結合了文創與藝術的</w:t>
      </w:r>
      <w:r>
        <w:rPr>
          <w:rFonts w:ascii="標楷體" w:hAnsi="標楷體"/>
          <w:color w:val="ff0000"/>
          <w:kern w:val="0"/>
          <w:u w:color="ff0000"/>
          <w:rtl w:val="0"/>
          <w:lang w:val="zh-TW" w:eastAsia="zh-TW"/>
        </w:rPr>
        <w:t>Line</w:t>
      </w: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貼圖設計，完美體現商業行為、數位生活與美術設計</w:t>
      </w: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。</w:t>
      </w:r>
      <w:r>
        <w:rPr>
          <w:rFonts w:eastAsia="標楷體" w:hint="eastAsia"/>
          <w:kern w:val="0"/>
          <w:rtl w:val="0"/>
          <w:lang w:val="zh-TW" w:eastAsia="zh-TW"/>
        </w:rPr>
        <w:t>透過相關研習，教師學習引導學生設計個別化的貼圖，並介紹文創商品的生產與銷售流程。</w:t>
      </w:r>
    </w:p>
    <w:p>
      <w:pPr>
        <w:pStyle w:val="Normal.0"/>
        <w:numPr>
          <w:ilvl w:val="2"/>
          <w:numId w:val="3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 w:hint="eastAsia"/>
          <w:kern w:val="0"/>
          <w:rtl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 xml:space="preserve"> 嚴詠能的田中央音樂計畫，在數位音樂時代，獨具一格</w:t>
      </w:r>
      <w:r>
        <w:rPr>
          <w:rFonts w:eastAsia="標楷體" w:hint="eastAsia"/>
          <w:kern w:val="0"/>
          <w:rtl w:val="0"/>
          <w:lang w:val="zh-TW" w:eastAsia="zh-TW"/>
        </w:rPr>
        <w:t>。</w:t>
      </w:r>
      <w:r>
        <w:rPr>
          <w:rFonts w:eastAsia="標楷體" w:hint="eastAsia"/>
          <w:kern w:val="0"/>
          <w:rtl w:val="0"/>
          <w:lang w:val="zh-TW" w:eastAsia="zh-TW"/>
        </w:rPr>
        <w:t>他重視社區營造、人我互動，與課綱的在地化、議題素養精神不謀而合。</w:t>
      </w:r>
    </w:p>
    <w:p>
      <w:pPr>
        <w:pStyle w:val="Normal.0"/>
        <w:numPr>
          <w:ilvl w:val="2"/>
          <w:numId w:val="4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 w:hint="eastAsia"/>
          <w:kern w:val="0"/>
          <w:rtl w:val="0"/>
          <w:lang w:val="zh-TW" w:eastAsia="zh-TW"/>
        </w:rPr>
      </w:pP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 xml:space="preserve"> 繼上年度教育戲劇課程，教育局卓越藝術教育增能計畫將進行創造性舞蹈工作坊，讓教師從生活坐臥行走如手，學習如何引導學生甚至舞蹈之美</w:t>
      </w: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。</w:t>
      </w:r>
    </w:p>
    <w:p>
      <w:pPr>
        <w:pStyle w:val="Normal.0"/>
        <w:spacing w:before="180" w:after="180" w:line="360" w:lineRule="auto"/>
        <w:ind w:left="567" w:firstLine="0"/>
        <w:rPr>
          <w:rFonts w:ascii="標楷體" w:cs="標楷體" w:hAnsi="標楷體" w:eastAsia="標楷體"/>
          <w:kern w:val="0"/>
          <w:lang w:val="zh-TW" w:eastAsia="zh-TW"/>
        </w:rPr>
      </w:pPr>
    </w:p>
    <w:p>
      <w:pPr>
        <w:pStyle w:val="Normal.0"/>
        <w:numPr>
          <w:ilvl w:val="0"/>
          <w:numId w:val="2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 w:hint="eastAsia"/>
          <w:color w:val="ff0000"/>
          <w:kern w:val="0"/>
          <w:u w:color="ff0000"/>
          <w:rtl w:val="0"/>
          <w:lang w:val="zh-TW" w:eastAsia="zh-TW"/>
        </w:rPr>
      </w:pPr>
      <w:r>
        <w:rPr>
          <w:rFonts w:eastAsia="標楷體" w:hint="eastAsia"/>
          <w:color w:val="000000"/>
          <w:rtl w:val="0"/>
          <w:lang w:val="zh-TW" w:eastAsia="zh-TW"/>
        </w:rPr>
        <w:t>實施</w:t>
      </w:r>
      <w:r>
        <w:rPr>
          <w:rFonts w:eastAsia="標楷體" w:hint="eastAsia"/>
          <w:color w:val="000000"/>
          <w:kern w:val="0"/>
          <w:rtl w:val="0"/>
          <w:lang w:val="zh-TW" w:eastAsia="zh-TW"/>
        </w:rPr>
        <w:t>方式：</w:t>
      </w: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【參考方式如下】</w:t>
      </w:r>
    </w:p>
    <w:p>
      <w:pPr>
        <w:pStyle w:val="Normal.0"/>
        <w:widowControl w:val="1"/>
        <w:tabs>
          <w:tab w:val="left" w:pos="142"/>
          <w:tab w:val="left" w:pos="2410"/>
          <w:tab w:val="left" w:pos="4820"/>
          <w:tab w:val="left" w:pos="6804"/>
        </w:tabs>
        <w:spacing w:line="360" w:lineRule="auto"/>
        <w:rPr>
          <w:rFonts w:ascii="標楷體" w:cs="標楷體" w:hAnsi="標楷體" w:eastAsia="標楷體"/>
          <w:color w:val="ff0000"/>
          <w:kern w:val="0"/>
          <w:u w:color="ff0000"/>
          <w:lang w:val="zh-TW" w:eastAsia="zh-TW"/>
        </w:rPr>
      </w:pP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（一）內外聘講座</w:t>
      </w:r>
    </w:p>
    <w:p>
      <w:pPr>
        <w:pStyle w:val="Normal.0"/>
        <w:widowControl w:val="1"/>
        <w:tabs>
          <w:tab w:val="left" w:pos="142"/>
          <w:tab w:val="left" w:pos="2410"/>
          <w:tab w:val="left" w:pos="4820"/>
          <w:tab w:val="left" w:pos="6804"/>
        </w:tabs>
        <w:spacing w:line="360" w:lineRule="auto"/>
        <w:rPr>
          <w:rFonts w:ascii="標楷體" w:cs="標楷體" w:hAnsi="標楷體" w:eastAsia="標楷體"/>
          <w:color w:val="ff0000"/>
          <w:kern w:val="0"/>
          <w:u w:color="ff0000"/>
          <w:lang w:val="zh-TW" w:eastAsia="zh-TW"/>
        </w:rPr>
      </w:pP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（二）分組討論</w:t>
      </w:r>
    </w:p>
    <w:p>
      <w:pPr>
        <w:pStyle w:val="Normal.0"/>
        <w:widowControl w:val="1"/>
        <w:tabs>
          <w:tab w:val="left" w:pos="142"/>
          <w:tab w:val="left" w:pos="2410"/>
          <w:tab w:val="left" w:pos="4820"/>
          <w:tab w:val="left" w:pos="6804"/>
        </w:tabs>
        <w:spacing w:line="360" w:lineRule="auto"/>
        <w:rPr>
          <w:rFonts w:ascii="標楷體" w:cs="標楷體" w:hAnsi="標楷體" w:eastAsia="標楷體"/>
          <w:color w:val="ff0000"/>
          <w:kern w:val="0"/>
          <w:u w:color="ff0000"/>
        </w:rPr>
      </w:pP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（六）公開觀課</w:t>
      </w:r>
      <w:r>
        <w:rPr>
          <w:rFonts w:ascii="標楷體" w:cs="標楷體" w:hAnsi="標楷體" w:eastAsia="標楷體"/>
          <w:color w:val="ff0000"/>
          <w:kern w:val="0"/>
          <w:u w:color="ff0000"/>
          <w:lang w:val="en-US"/>
        </w:rPr>
        <w:tab/>
      </w:r>
    </w:p>
    <w:p>
      <w:pPr>
        <w:pStyle w:val="Normal.0"/>
        <w:widowControl w:val="1"/>
        <w:tabs>
          <w:tab w:val="left" w:pos="142"/>
          <w:tab w:val="left" w:pos="2410"/>
          <w:tab w:val="left" w:pos="4820"/>
          <w:tab w:val="left" w:pos="6804"/>
        </w:tabs>
        <w:spacing w:line="360" w:lineRule="auto"/>
        <w:rPr>
          <w:rFonts w:ascii="標楷體" w:cs="標楷體" w:hAnsi="標楷體" w:eastAsia="標楷體"/>
          <w:kern w:val="0"/>
          <w:lang w:val="zh-TW" w:eastAsia="zh-TW"/>
        </w:rPr>
      </w:pPr>
      <w:r>
        <w:rPr>
          <w:rFonts w:eastAsia="標楷體" w:hint="eastAsia"/>
          <w:color w:val="ff0000"/>
          <w:kern w:val="0"/>
          <w:u w:color="ff0000"/>
          <w:rtl w:val="0"/>
          <w:lang w:val="zh-TW" w:eastAsia="zh-TW"/>
        </w:rPr>
        <w:t>（七）校外參訪</w:t>
      </w:r>
      <w:r>
        <w:rPr>
          <w:rFonts w:eastAsia="標楷體" w:hint="eastAsia"/>
          <w:rtl w:val="0"/>
          <w:lang w:val="zh-TW" w:eastAsia="zh-TW"/>
        </w:rPr>
        <w:t>參加</w:t>
      </w:r>
      <w:r>
        <w:rPr>
          <w:rFonts w:eastAsia="標楷體" w:hint="eastAsia"/>
          <w:kern w:val="0"/>
          <w:rtl w:val="0"/>
          <w:lang w:val="zh-TW" w:eastAsia="zh-TW"/>
        </w:rPr>
        <w:t>人員：領域全體教師。</w:t>
      </w:r>
    </w:p>
    <w:tbl>
      <w:tblPr>
        <w:tblW w:w="9287" w:type="dxa"/>
        <w:jc w:val="left"/>
        <w:tblInd w:w="67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22"/>
        <w:gridCol w:w="2321"/>
        <w:gridCol w:w="2322"/>
        <w:gridCol w:w="232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教師姓名</w:t>
            </w:r>
          </w:p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擔任職務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授課科目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授課年級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張幼玫</w:t>
            </w:r>
          </w:p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專任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表演藝術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八年級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廖經華</w:t>
            </w:r>
          </w:p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專任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音樂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八、九年級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董璘</w:t>
            </w:r>
          </w:p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專任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音樂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七、九年級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林欣美</w:t>
            </w:r>
          </w:p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專任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視覺藝術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七、九年級</w:t>
            </w:r>
          </w:p>
        </w:tc>
      </w:tr>
    </w:tbl>
    <w:p>
      <w:pPr>
        <w:pStyle w:val="Normal.0"/>
        <w:tabs>
          <w:tab w:val="left" w:pos="142"/>
          <w:tab w:val="left" w:pos="2410"/>
          <w:tab w:val="left" w:pos="4820"/>
          <w:tab w:val="left" w:pos="6804"/>
        </w:tabs>
        <w:ind w:left="567" w:hanging="567"/>
        <w:rPr>
          <w:rFonts w:ascii="標楷體" w:cs="標楷體" w:hAnsi="標楷體" w:eastAsia="標楷體"/>
          <w:kern w:val="0"/>
          <w:lang w:val="zh-TW" w:eastAsia="zh-TW"/>
        </w:rPr>
      </w:pPr>
    </w:p>
    <w:p>
      <w:pPr>
        <w:pStyle w:val="Normal.0"/>
        <w:numPr>
          <w:ilvl w:val="0"/>
          <w:numId w:val="5"/>
        </w:numPr>
        <w:bidi w:val="0"/>
        <w:spacing w:before="180" w:after="180" w:line="360" w:lineRule="auto"/>
        <w:ind w:right="0"/>
        <w:jc w:val="left"/>
        <w:rPr>
          <w:rFonts w:ascii="標楷體" w:cs="標楷體" w:hAnsi="標楷體" w:eastAsia="標楷體" w:hint="eastAsia"/>
          <w:kern w:val="0"/>
          <w:rtl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工作坊流程</w:t>
      </w:r>
    </w:p>
    <w:tbl>
      <w:tblPr>
        <w:tblW w:w="8362" w:type="dxa"/>
        <w:jc w:val="center"/>
        <w:tblInd w:w="1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70"/>
        <w:gridCol w:w="1202"/>
        <w:gridCol w:w="3402"/>
        <w:gridCol w:w="1701"/>
        <w:gridCol w:w="1487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360" w:lineRule="auto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場次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360" w:lineRule="auto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日期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360" w:lineRule="auto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課程內容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360" w:lineRule="auto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講座或負責人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360" w:lineRule="auto"/>
              <w:jc w:val="center"/>
            </w:pPr>
            <w:r>
              <w:rPr>
                <w:rFonts w:eastAsia="標楷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活動時間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rtl w:val="0"/>
              </w:rPr>
              <w:t>3/7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rtl w:val="0"/>
                <w:lang w:val="zh-TW" w:eastAsia="zh-TW"/>
              </w:rPr>
              <w:t>戲劇教育實務食物分享會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張幼玫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8:30-</w:t>
            </w:r>
            <w:r>
              <w:rPr>
                <w:rtl w:val="0"/>
                <w:lang w:val="en-US"/>
              </w:rPr>
              <w:t>16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:00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3/18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卓越藝術增能・</w:t>
            </w:r>
            <w:r>
              <w:rPr>
                <w:rFonts w:eastAsia="新細明體" w:hint="eastAsia"/>
                <w:rtl w:val="0"/>
                <w:lang w:val="zh-TW" w:eastAsia="zh-TW"/>
              </w:rPr>
              <w:t>視覺・布釦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高嘉宏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8:30-12:00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rtl w:val="0"/>
              </w:rPr>
              <w:t>04/17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rtl w:val="0"/>
                <w:lang w:val="zh-TW" w:eastAsia="zh-TW"/>
              </w:rPr>
              <w:t>期中教學研究會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張幼玫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8:30-12:00</w:t>
            </w:r>
          </w:p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5/16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卓越藝術增能・視覺・數位與貼圖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陳育淳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8:30-12:00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rtl w:val="0"/>
              </w:rPr>
              <w:t>5/23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卓越增能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・音樂・田中央的歌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嚴詠能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8:30-12:00</w:t>
            </w:r>
          </w:p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rtl w:val="0"/>
              </w:rPr>
              <w:t>6/16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卓越藝術教育增能・表演・創造性舞蹈一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劉淑英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8:30-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:00</w:t>
            </w:r>
          </w:p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rtl w:val="0"/>
              </w:rPr>
              <w:t>6/20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卓越藝術教育增能・表演・創造性舞蹈二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劉淑英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8:30-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</w:t>
            </w:r>
          </w:p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:00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rtl w:val="0"/>
              </w:rPr>
              <w:t>6/4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rtl w:val="0"/>
                <w:lang w:val="zh-TW" w:eastAsia="zh-TW"/>
              </w:rPr>
              <w:t>石牌・大直聯合管樂發表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Times New Roman" w:hint="eastAsia"/>
                <w:rtl w:val="0"/>
              </w:rPr>
              <w:t>廖經華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tl w:val="0"/>
                <w:lang w:val="en-US"/>
              </w:rPr>
              <w:t>15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:30-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9</w:t>
            </w:r>
          </w:p>
        </w:tc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rtl w:val="0"/>
              </w:rPr>
              <w:t>6/13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期末教學研究會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eastAsia="新細明體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張幼玫</w:t>
            </w:r>
          </w:p>
        </w:tc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8:30-12:00</w:t>
            </w:r>
          </w:p>
        </w:tc>
      </w:tr>
    </w:tbl>
    <w:p>
      <w:pPr>
        <w:pStyle w:val="Normal.0"/>
        <w:numPr>
          <w:ilvl w:val="0"/>
          <w:numId w:val="6"/>
        </w:numPr>
        <w:spacing w:before="180" w:after="180"/>
        <w:jc w:val="center"/>
        <w:rPr>
          <w:kern w:val="0"/>
          <w:lang w:val="zh-TW" w:eastAsia="zh-TW"/>
        </w:rPr>
      </w:pPr>
    </w:p>
    <w:p>
      <w:pPr>
        <w:pStyle w:val="Normal.0"/>
        <w:widowControl w:val="1"/>
        <w:spacing w:before="100" w:after="100" w:line="360" w:lineRule="auto"/>
        <w:ind w:left="960" w:hanging="960"/>
        <w:rPr>
          <w:rFonts w:ascii="標楷體" w:cs="標楷體" w:hAnsi="標楷體" w:eastAsia="標楷體"/>
          <w:kern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六、預期效益：</w:t>
      </w:r>
    </w:p>
    <w:p>
      <w:pPr>
        <w:pStyle w:val="Normal.0"/>
        <w:widowControl w:val="1"/>
        <w:spacing w:before="100" w:after="100" w:line="360" w:lineRule="auto"/>
        <w:ind w:left="960" w:hanging="960"/>
        <w:rPr>
          <w:rFonts w:ascii="標楷體" w:cs="標楷體" w:hAnsi="標楷體" w:eastAsia="標楷體"/>
          <w:kern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（一）拓展教師藝術專業視野。</w:t>
      </w:r>
    </w:p>
    <w:p>
      <w:pPr>
        <w:pStyle w:val="Normal.0"/>
        <w:widowControl w:val="1"/>
        <w:spacing w:before="100" w:after="100" w:line="360" w:lineRule="auto"/>
        <w:ind w:left="960" w:hanging="960"/>
        <w:rPr>
          <w:rFonts w:ascii="標楷體" w:cs="標楷體" w:hAnsi="標楷體" w:eastAsia="標楷體"/>
          <w:kern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（二）精進教師專業教學能力。</w:t>
      </w:r>
    </w:p>
    <w:p>
      <w:pPr>
        <w:pStyle w:val="Normal.0"/>
        <w:widowControl w:val="1"/>
        <w:spacing w:before="100" w:after="100" w:line="360" w:lineRule="auto"/>
        <w:ind w:left="960" w:hanging="960"/>
        <w:rPr>
          <w:rFonts w:ascii="標楷體" w:cs="標楷體" w:hAnsi="標楷體" w:eastAsia="標楷體"/>
          <w:color w:val="ff0000"/>
          <w:kern w:val="0"/>
          <w:u w:color="ff000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（三）調整學生學習內容，協助學生有效學習。</w:t>
      </w:r>
    </w:p>
    <w:p>
      <w:pPr>
        <w:pStyle w:val="Normal.0"/>
        <w:widowControl w:val="1"/>
        <w:spacing w:before="100" w:after="100" w:line="360" w:lineRule="auto"/>
        <w:ind w:left="960" w:hanging="960"/>
        <w:rPr>
          <w:rFonts w:ascii="標楷體" w:cs="標楷體" w:hAnsi="標楷體" w:eastAsia="標楷體"/>
          <w:color w:val="ff0000"/>
          <w:kern w:val="0"/>
          <w:u w:color="ff000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七、經費與行政協同：</w:t>
      </w:r>
    </w:p>
    <w:p>
      <w:pPr>
        <w:pStyle w:val="Normal.0"/>
        <w:widowControl w:val="1"/>
        <w:spacing w:before="100" w:after="100" w:line="360" w:lineRule="auto"/>
        <w:ind w:left="960" w:hanging="960"/>
        <w:rPr>
          <w:rFonts w:ascii="標楷體" w:cs="標楷體" w:hAnsi="標楷體" w:eastAsia="標楷體"/>
          <w:kern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配合各校活化教學經費協助社群發展。</w:t>
      </w:r>
    </w:p>
    <w:p>
      <w:pPr>
        <w:pStyle w:val="Normal.0"/>
        <w:widowControl w:val="1"/>
        <w:spacing w:before="100" w:after="100" w:line="360" w:lineRule="auto"/>
        <w:ind w:left="960" w:hanging="960"/>
        <w:rPr>
          <w:rFonts w:ascii="標楷體" w:cs="標楷體" w:hAnsi="標楷體" w:eastAsia="標楷體"/>
          <w:color w:val="ff0000"/>
          <w:kern w:val="0"/>
          <w:u w:color="ff000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八、檢核與回饋方式：</w:t>
      </w:r>
    </w:p>
    <w:p>
      <w:pPr>
        <w:pStyle w:val="Normal.0"/>
        <w:widowControl w:val="1"/>
        <w:spacing w:before="100" w:after="100" w:line="360" w:lineRule="auto"/>
        <w:ind w:left="960" w:hanging="960"/>
        <w:rPr>
          <w:rFonts w:ascii="標楷體" w:cs="標楷體" w:hAnsi="標楷體" w:eastAsia="標楷體"/>
          <w:kern w:val="0"/>
          <w:lang w:val="zh-TW" w:eastAsia="zh-TW"/>
        </w:rPr>
      </w:pPr>
      <w:r>
        <w:rPr>
          <w:rFonts w:eastAsia="標楷體" w:hint="eastAsia"/>
          <w:kern w:val="0"/>
          <w:rtl w:val="0"/>
          <w:lang w:val="zh-TW" w:eastAsia="zh-TW"/>
        </w:rPr>
        <w:t>填寫相關回饋表單，並置於領域統整資料與教師個別教學檔案中。</w:t>
      </w:r>
    </w:p>
    <w:p>
      <w:pPr>
        <w:pStyle w:val="Normal.0"/>
        <w:widowControl w:val="1"/>
        <w:spacing w:before="100" w:after="100" w:line="360" w:lineRule="auto"/>
        <w:ind w:left="960" w:hanging="960"/>
      </w:pPr>
      <w:r>
        <w:rPr>
          <w:rFonts w:eastAsia="標楷體" w:hint="eastAsia"/>
          <w:kern w:val="0"/>
          <w:rtl w:val="0"/>
          <w:lang w:val="zh-TW" w:eastAsia="zh-TW"/>
        </w:rPr>
        <w:t>九、本計畫經領域專業學習社群討論後經校長核可後實施。</w:t>
      </w:r>
      <w:r>
        <w:rPr>
          <w:rFonts w:ascii="標楷體" w:cs="標楷體" w:hAnsi="標楷體" w:eastAsia="標楷體"/>
          <w:kern w:val="0"/>
          <w:lang w:val="zh-TW" w:eastAsia="zh-TW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標楷體">
    <w:charset w:val="00"/>
    <w:family w:val="roman"/>
    <w:pitch w:val="default"/>
  </w:font>
  <w:font w:name="Cambria">
    <w:charset w:val="00"/>
    <w:family w:val="roman"/>
    <w:pitch w:val="default"/>
  </w:font>
  <w:font w:name="新細明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輸入樣式 1"/>
  </w:abstractNum>
  <w:abstractNum w:abstractNumId="1">
    <w:multiLevelType w:val="hybridMultilevel"/>
    <w:styleLink w:val="已輸入樣式 1"/>
    <w:lvl w:ilvl="0">
      <w:start w:val="1"/>
      <w:numFmt w:val="taiwaneseCounting"/>
      <w:suff w:val="nothing"/>
      <w:lvlText w:val="%1."/>
      <w:lvlJc w:val="left"/>
      <w:pPr>
        <w:tabs>
          <w:tab w:val="left" w:pos="170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ideographDigital"/>
      <w:suff w:val="nothing"/>
      <w:lvlText w:val="(%2)"/>
      <w:lvlJc w:val="left"/>
      <w:pPr>
        <w:tabs>
          <w:tab w:val="left" w:pos="170"/>
        </w:tabs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taiwaneseCounting"/>
      <w:suff w:val="nothing"/>
      <w:lvlText w:val="%4."/>
      <w:lvlJc w:val="left"/>
      <w:pPr>
        <w:ind w:left="18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551"/>
        </w:tabs>
        <w:ind w:left="3005" w:hanging="1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num" w:pos="3260"/>
        </w:tabs>
        <w:ind w:left="3714" w:hanging="1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num" w:pos="3827"/>
        </w:tabs>
        <w:ind w:left="4281" w:hanging="17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4394"/>
        </w:tabs>
        <w:ind w:left="4848" w:hanging="18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num" w:pos="5102"/>
        </w:tabs>
        <w:ind w:left="5556" w:hanging="2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taiwaneseCounting"/>
        <w:suff w:val="nothing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ideographDigital"/>
        <w:suff w:val="nothing"/>
        <w:lvlText w:val="(%2)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133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taiwaneseCounting"/>
        <w:suff w:val="nothing"/>
        <w:lvlText w:val="%4."/>
        <w:lvlJc w:val="left"/>
        <w:pPr>
          <w:ind w:left="1558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2266"/>
          </w:tabs>
          <w:ind w:left="2434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num" w:pos="2975"/>
          </w:tabs>
          <w:ind w:left="3143" w:hanging="10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7)"/>
        <w:lvlJc w:val="left"/>
        <w:pPr>
          <w:tabs>
            <w:tab w:val="num" w:pos="3542"/>
          </w:tabs>
          <w:ind w:left="3710" w:hanging="1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4109"/>
          </w:tabs>
          <w:ind w:left="4277" w:hanging="1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num" w:pos="4817"/>
          </w:tabs>
          <w:ind w:left="4985" w:hanging="1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taiwaneseCounting"/>
        <w:suff w:val="nothing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ideographDigital"/>
        <w:suff w:val="nothing"/>
        <w:lvlText w:val="(%2)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taiwaneseCounting"/>
        <w:suff w:val="nothing"/>
        <w:lvlText w:val="%4."/>
        <w:lvlJc w:val="left"/>
        <w:pPr>
          <w:ind w:left="155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2267"/>
          </w:tabs>
          <w:ind w:left="2437" w:hanging="7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num" w:pos="2976"/>
          </w:tabs>
          <w:ind w:left="3146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7)"/>
        <w:lvlJc w:val="left"/>
        <w:pPr>
          <w:tabs>
            <w:tab w:val="num" w:pos="3543"/>
          </w:tabs>
          <w:ind w:left="3713" w:hanging="1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4110"/>
          </w:tabs>
          <w:ind w:left="4280" w:hanging="1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num" w:pos="4818"/>
          </w:tabs>
          <w:ind w:left="4988" w:hanging="15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6"/>
    </w:lvlOverride>
  </w:num>
  <w:num w:numId="6">
    <w:abstractNumId w:val="0"/>
    <w:lvlOverride w:ilvl="0">
      <w:lvl w:ilvl="0">
        <w:start w:val="1"/>
        <w:numFmt w:val="taiwaneseCounting"/>
        <w:suff w:val="nothing"/>
        <w:lvlText w:val="%1."/>
        <w:lvlJc w:val="left"/>
        <w:pPr>
          <w:tabs>
            <w:tab w:val="left" w:pos="170"/>
          </w:tabs>
          <w:ind w:left="193" w:hanging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ideographDigital"/>
        <w:suff w:val="nothing"/>
        <w:lvlText w:val="(%2)"/>
        <w:lvlJc w:val="left"/>
        <w:pPr>
          <w:tabs>
            <w:tab w:val="left" w:pos="170"/>
          </w:tabs>
          <w:ind w:left="760" w:hanging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70"/>
          </w:tabs>
          <w:ind w:left="1044" w:hanging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taiwaneseCounting"/>
        <w:suff w:val="nothing"/>
        <w:lvlText w:val="%4."/>
        <w:lvlJc w:val="left"/>
        <w:pPr>
          <w:tabs>
            <w:tab w:val="left" w:pos="170"/>
          </w:tabs>
          <w:ind w:left="1469" w:hanging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70"/>
            <w:tab w:val="num" w:pos="2551"/>
          </w:tabs>
          <w:ind w:left="2631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70"/>
            <w:tab w:val="num" w:pos="3260"/>
          </w:tabs>
          <w:ind w:left="3340" w:hanging="1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7)"/>
        <w:lvlJc w:val="left"/>
        <w:pPr>
          <w:tabs>
            <w:tab w:val="left" w:pos="170"/>
            <w:tab w:val="num" w:pos="3827"/>
          </w:tabs>
          <w:ind w:left="3907" w:hanging="1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70"/>
            <w:tab w:val="num" w:pos="4394"/>
          </w:tabs>
          <w:ind w:left="4474" w:hanging="1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70"/>
            <w:tab w:val="num" w:pos="5102"/>
          </w:tabs>
          <w:ind w:left="5182" w:hanging="17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numbering" w:styleId="已輸入樣式 1">
    <w:name w:val="已輸入樣式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