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40" w:rsidRDefault="00470178" w:rsidP="0047017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105-2 </w:t>
      </w:r>
      <w:r>
        <w:rPr>
          <w:rFonts w:ascii="微軟正黑體" w:eastAsia="微軟正黑體" w:hAnsi="微軟正黑體"/>
        </w:rPr>
        <w:t>PLC</w:t>
      </w:r>
    </w:p>
    <w:p w:rsidR="00CE6D64" w:rsidRDefault="00CE6D64" w:rsidP="0047017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時間:</w:t>
      </w:r>
      <w:r>
        <w:rPr>
          <w:rFonts w:ascii="微軟正黑體" w:eastAsia="微軟正黑體" w:hAnsi="微軟正黑體"/>
        </w:rPr>
        <w:t>2017/6/</w:t>
      </w:r>
    </w:p>
    <w:p w:rsidR="00CE6D64" w:rsidRDefault="00CE6D64" w:rsidP="0047017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地點:</w:t>
      </w:r>
      <w:proofErr w:type="gramStart"/>
      <w:r>
        <w:rPr>
          <w:rFonts w:ascii="微軟正黑體" w:eastAsia="微軟正黑體" w:hAnsi="微軟正黑體" w:hint="eastAsia"/>
        </w:rPr>
        <w:t>花博公園</w:t>
      </w:r>
      <w:proofErr w:type="gramEnd"/>
      <w:r>
        <w:rPr>
          <w:rFonts w:ascii="微軟正黑體" w:eastAsia="微軟正黑體" w:hAnsi="微軟正黑體" w:hint="eastAsia"/>
        </w:rPr>
        <w:t>長廊廣場管樂團成果發表</w:t>
      </w:r>
    </w:p>
    <w:p w:rsidR="00CE6D64" w:rsidRDefault="00CE6D64" w:rsidP="0047017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內容:</w:t>
      </w:r>
    </w:p>
    <w:p w:rsidR="00CE6D64" w:rsidRDefault="00CE6D64" w:rsidP="0047017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曲目</w:t>
      </w:r>
      <w:proofErr w:type="gramStart"/>
      <w:r>
        <w:rPr>
          <w:rFonts w:ascii="微軟正黑體" w:eastAsia="微軟正黑體" w:hAnsi="微軟正黑體" w:hint="eastAsia"/>
        </w:rPr>
        <w:t>規</w:t>
      </w:r>
      <w:proofErr w:type="gramEnd"/>
      <w:r>
        <w:rPr>
          <w:rFonts w:ascii="微軟正黑體" w:eastAsia="微軟正黑體" w:hAnsi="微軟正黑體" w:hint="eastAsia"/>
        </w:rPr>
        <w:t>畫 共分為三大主題：</w:t>
      </w:r>
    </w:p>
    <w:p w:rsidR="00CE6D64" w:rsidRPr="00DB5225" w:rsidRDefault="00CE6D64" w:rsidP="00DB522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B5225">
        <w:rPr>
          <w:rFonts w:ascii="微軟正黑體" w:eastAsia="微軟正黑體" w:hAnsi="微軟正黑體" w:hint="eastAsia"/>
        </w:rPr>
        <w:t>經典古典管樂合奏曲，包括世紀序曲</w:t>
      </w:r>
      <w:r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魔笛序曲</w:t>
      </w:r>
      <w:r w:rsidR="00DB5225"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自由世界進行曲</w:t>
      </w:r>
      <w:r w:rsidR="00DB5225"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天命</w:t>
      </w:r>
      <w:r w:rsidR="00DB5225"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黃金列車</w:t>
      </w:r>
      <w:r w:rsidR="00DB5225"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阿帕拉契序曲</w:t>
      </w:r>
      <w:r w:rsidR="00DB5225"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費加洛婚禮序曲</w:t>
      </w:r>
      <w:r w:rsidR="00DB5225" w:rsidRPr="00DB5225">
        <w:rPr>
          <w:rFonts w:ascii="新細明體" w:eastAsia="新細明體" w:hAnsi="新細明體" w:hint="eastAsia"/>
        </w:rPr>
        <w:t>、</w:t>
      </w:r>
      <w:r w:rsidR="00DB5225" w:rsidRPr="00DB5225">
        <w:rPr>
          <w:rFonts w:ascii="微軟正黑體" w:eastAsia="微軟正黑體" w:hAnsi="微軟正黑體" w:hint="eastAsia"/>
        </w:rPr>
        <w:t>登峰造極，以上曲目包含傳統古典樂曲改編之管樂合奏曲，讓學生能把</w:t>
      </w:r>
      <w:proofErr w:type="gramStart"/>
      <w:r w:rsidR="00DB5225" w:rsidRPr="00DB5225">
        <w:rPr>
          <w:rFonts w:ascii="微軟正黑體" w:eastAsia="微軟正黑體" w:hAnsi="微軟正黑體" w:hint="eastAsia"/>
        </w:rPr>
        <w:t>音樂課習得</w:t>
      </w:r>
      <w:proofErr w:type="gramEnd"/>
      <w:r w:rsidR="00DB5225" w:rsidRPr="00DB5225">
        <w:rPr>
          <w:rFonts w:ascii="微軟正黑體" w:eastAsia="微軟正黑體" w:hAnsi="微軟正黑體" w:hint="eastAsia"/>
        </w:rPr>
        <w:t>之古典曲目更進一步的以吹奏的方式展現與表達。</w:t>
      </w:r>
    </w:p>
    <w:p w:rsidR="00C775B6" w:rsidRPr="00C775B6" w:rsidRDefault="00DB5225" w:rsidP="00C775B6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卡通改編曲</w:t>
      </w:r>
      <w:r w:rsidRPr="00DB5225">
        <w:rPr>
          <w:rFonts w:ascii="微軟正黑體" w:eastAsia="微軟正黑體" w:hAnsi="微軟正黑體" w:hint="eastAsia"/>
        </w:rPr>
        <w:t>，包括</w:t>
      </w:r>
      <w:r w:rsidRPr="00860F30">
        <w:rPr>
          <w:rFonts w:ascii="微軟正黑體" w:eastAsia="微軟正黑體" w:hAnsi="微軟正黑體" w:cs="Segoe UI"/>
          <w:color w:val="000000"/>
          <w:sz w:val="23"/>
          <w:szCs w:val="23"/>
        </w:rPr>
        <w:t>冰雪奇緣主題曲</w:t>
      </w:r>
      <w:r w:rsidRPr="00DB5225">
        <w:rPr>
          <w:rFonts w:ascii="新細明體" w:eastAsia="新細明體" w:hAnsi="新細明體" w:hint="eastAsia"/>
        </w:rPr>
        <w:t>、</w:t>
      </w:r>
      <w:r w:rsidRPr="00860F30">
        <w:rPr>
          <w:rFonts w:ascii="微軟正黑體" w:eastAsia="微軟正黑體" w:hAnsi="微軟正黑體" w:cs="Segoe UI"/>
          <w:color w:val="000000"/>
          <w:sz w:val="23"/>
          <w:szCs w:val="23"/>
        </w:rPr>
        <w:t>妖怪體操</w:t>
      </w:r>
      <w:r w:rsidRPr="00DB5225">
        <w:rPr>
          <w:rFonts w:ascii="新細明體" w:eastAsia="新細明體" w:hAnsi="新細明體" w:hint="eastAsia"/>
        </w:rPr>
        <w:t>、</w:t>
      </w:r>
      <w:r w:rsidRPr="00860F30">
        <w:rPr>
          <w:rFonts w:ascii="微軟正黑體" w:eastAsia="微軟正黑體" w:hAnsi="微軟正黑體" w:cs="Segoe UI"/>
          <w:color w:val="000000"/>
          <w:sz w:val="23"/>
          <w:szCs w:val="23"/>
        </w:rPr>
        <w:t>風中奇緣組曲</w:t>
      </w:r>
      <w:r w:rsidRPr="00DB5225">
        <w:rPr>
          <w:rFonts w:ascii="新細明體" w:eastAsia="新細明體" w:hAnsi="新細明體" w:hint="eastAsia"/>
        </w:rPr>
        <w:t>、</w:t>
      </w:r>
      <w:r>
        <w:rPr>
          <w:rFonts w:ascii="微軟正黑體" w:eastAsia="微軟正黑體" w:hAnsi="微軟正黑體" w:cs="Segoe UI" w:hint="eastAsia"/>
          <w:color w:val="000000"/>
          <w:sz w:val="23"/>
          <w:szCs w:val="23"/>
        </w:rPr>
        <w:t>櫻</w:t>
      </w:r>
      <w:r>
        <w:rPr>
          <w:rFonts w:ascii="微軟正黑體" w:eastAsia="微軟正黑體" w:hAnsi="微軟正黑體" w:cs="Segoe UI"/>
          <w:color w:val="000000"/>
          <w:sz w:val="23"/>
          <w:szCs w:val="23"/>
        </w:rPr>
        <w:t>桃小丸子</w:t>
      </w:r>
      <w:r>
        <w:rPr>
          <w:rFonts w:ascii="微軟正黑體" w:eastAsia="微軟正黑體" w:hAnsi="微軟正黑體" w:cs="Segoe UI" w:hint="eastAsia"/>
          <w:color w:val="000000"/>
          <w:sz w:val="23"/>
          <w:szCs w:val="23"/>
        </w:rPr>
        <w:t>組曲</w:t>
      </w:r>
      <w:r w:rsidRPr="00DB5225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透過熟悉的旋律搭配上複雜的節奏和和聲變化，雖然整體難度較高</w:t>
      </w:r>
      <w:r w:rsidR="00C775B6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但是</w:t>
      </w:r>
      <w:r w:rsidR="00C775B6">
        <w:rPr>
          <w:rFonts w:ascii="微軟正黑體" w:eastAsia="微軟正黑體" w:hAnsi="微軟正黑體" w:hint="eastAsia"/>
        </w:rPr>
        <w:t>主題的熟稔讓學生的學習意願大為提高，也因此能藉著此類主題提升同學的程度。</w:t>
      </w:r>
    </w:p>
    <w:p w:rsidR="00C775B6" w:rsidRDefault="00C775B6" w:rsidP="00C775B6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流行改編曲</w:t>
      </w:r>
      <w:r w:rsidRPr="00DB5225">
        <w:rPr>
          <w:rFonts w:ascii="微軟正黑體" w:eastAsia="微軟正黑體" w:hAnsi="微軟正黑體" w:hint="eastAsia"/>
        </w:rPr>
        <w:t>，包括</w:t>
      </w:r>
      <w:r w:rsidRPr="00C775B6">
        <w:rPr>
          <w:rFonts w:ascii="微軟正黑體" w:eastAsia="微軟正黑體" w:hAnsi="微軟正黑體" w:hint="eastAsia"/>
        </w:rPr>
        <w:t>淚光閃閃</w:t>
      </w:r>
      <w:r w:rsidRPr="00DB5225">
        <w:rPr>
          <w:rFonts w:ascii="新細明體" w:eastAsia="新細明體" w:hAnsi="新細明體" w:hint="eastAsia"/>
        </w:rPr>
        <w:t>、</w:t>
      </w:r>
      <w:r w:rsidRPr="00C775B6">
        <w:rPr>
          <w:rFonts w:ascii="微軟正黑體" w:eastAsia="微軟正黑體" w:hAnsi="微軟正黑體" w:hint="eastAsia"/>
        </w:rPr>
        <w:t>何日君再來</w:t>
      </w:r>
      <w:r w:rsidRPr="00DB5225">
        <w:rPr>
          <w:rFonts w:ascii="新細明體" w:eastAsia="新細明體" w:hAnsi="新細明體" w:hint="eastAsia"/>
        </w:rPr>
        <w:t>、</w:t>
      </w:r>
      <w:r w:rsidRPr="00C775B6">
        <w:rPr>
          <w:rFonts w:ascii="微軟正黑體" w:eastAsia="微軟正黑體" w:hAnsi="微軟正黑體" w:hint="eastAsia"/>
        </w:rPr>
        <w:t>愛人</w:t>
      </w:r>
      <w:r w:rsidRPr="00DB5225">
        <w:rPr>
          <w:rFonts w:ascii="新細明體" w:eastAsia="新細明體" w:hAnsi="新細明體" w:hint="eastAsia"/>
        </w:rPr>
        <w:t>、</w:t>
      </w:r>
      <w:r w:rsidRPr="00C775B6">
        <w:rPr>
          <w:rFonts w:ascii="微軟正黑體" w:eastAsia="微軟正黑體" w:hAnsi="微軟正黑體"/>
        </w:rPr>
        <w:t>365日</w:t>
      </w:r>
      <w:r w:rsidRPr="00C775B6">
        <w:rPr>
          <w:rFonts w:ascii="微軟正黑體" w:eastAsia="微軟正黑體" w:hAnsi="微軟正黑體" w:hint="eastAsia"/>
        </w:rPr>
        <w:t>紙飛機</w:t>
      </w:r>
      <w:r>
        <w:rPr>
          <w:rFonts w:ascii="微軟正黑體" w:eastAsia="微軟正黑體" w:hAnsi="微軟正黑體" w:hint="eastAsia"/>
        </w:rPr>
        <w:t>，這些曲目</w:t>
      </w:r>
      <w:r>
        <w:rPr>
          <w:rFonts w:ascii="微軟正黑體" w:eastAsia="微軟正黑體" w:hAnsi="微軟正黑體" w:hint="eastAsia"/>
        </w:rPr>
        <w:t>對學生而言或許不是最新最流行的歌曲</w:t>
      </w:r>
      <w:r>
        <w:rPr>
          <w:rFonts w:ascii="微軟正黑體" w:eastAsia="微軟正黑體" w:hAnsi="微軟正黑體" w:hint="eastAsia"/>
        </w:rPr>
        <w:t>，但此主題卻能讓整體節目能與觀眾產生更多共鳴</w:t>
      </w:r>
      <w:r w:rsidRPr="00DB5225">
        <w:rPr>
          <w:rFonts w:ascii="微軟正黑體" w:eastAsia="微軟正黑體" w:hAnsi="微軟正黑體" w:hint="eastAsia"/>
        </w:rPr>
        <w:t>。</w:t>
      </w:r>
    </w:p>
    <w:p w:rsidR="00BE25F0" w:rsidRDefault="00C775B6" w:rsidP="00C775B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整體活動規劃於下學期初開始進行，因應戶外演出需要大團體的音響效果，因此此次表演結合了石牌國中管樂團聯合演出，兩團平時分開練習，在演出前共進行了3次聯合練習與彩排，學生透過與他校同學的演出交流，更能增進練習</w:t>
      </w:r>
      <w:r>
        <w:rPr>
          <w:rFonts w:ascii="微軟正黑體" w:eastAsia="微軟正黑體" w:hAnsi="微軟正黑體" w:hint="eastAsia"/>
        </w:rPr>
        <w:lastRenderedPageBreak/>
        <w:t>意願與表演熱忱。</w:t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 w:rsidRPr="00BE25F0">
        <w:rPr>
          <w:rFonts w:ascii="微軟正黑體" w:eastAsia="微軟正黑體" w:hAnsi="微軟正黑體"/>
          <w:noProof/>
        </w:rPr>
        <w:drawing>
          <wp:inline distT="0" distB="0" distL="0" distR="0">
            <wp:extent cx="2266950" cy="3022600"/>
            <wp:effectExtent l="0" t="0" r="0" b="6350"/>
            <wp:docPr id="2" name="圖片 2" descr="C:\Users\PU301L\Desktop\18882100_1559737984058919_5948304548213221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301L\Desktop\18882100_1559737984058919_59483045482132218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77" cy="30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</w:rPr>
        <w:t xml:space="preserve"> </w:t>
      </w:r>
    </w:p>
    <w:p w:rsidR="00C775B6" w:rsidRDefault="00BE25F0" w:rsidP="00C775B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觀眾</w:t>
      </w:r>
      <w:proofErr w:type="gramStart"/>
      <w:r>
        <w:rPr>
          <w:rFonts w:ascii="微軟正黑體" w:eastAsia="微軟正黑體" w:hAnsi="微軟正黑體" w:hint="eastAsia"/>
        </w:rPr>
        <w:t>僅需掃演出</w:t>
      </w:r>
      <w:proofErr w:type="gramEnd"/>
      <w:r>
        <w:rPr>
          <w:rFonts w:ascii="微軟正黑體" w:eastAsia="微軟正黑體" w:hAnsi="微軟正黑體" w:hint="eastAsia"/>
        </w:rPr>
        <w:t>海報右下角的</w:t>
      </w:r>
      <w:proofErr w:type="spellStart"/>
      <w:r>
        <w:rPr>
          <w:rFonts w:ascii="微軟正黑體" w:eastAsia="微軟正黑體" w:hAnsi="微軟正黑體" w:hint="eastAsia"/>
        </w:rPr>
        <w:t>QRCode</w:t>
      </w:r>
      <w:proofErr w:type="spellEnd"/>
      <w:r>
        <w:rPr>
          <w:rFonts w:ascii="微軟正黑體" w:eastAsia="微軟正黑體" w:hAnsi="微軟正黑體" w:hint="eastAsia"/>
        </w:rPr>
        <w:t>即可獲得演出曲目</w:t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 w:rsidRPr="00BE25F0">
        <w:rPr>
          <w:rFonts w:ascii="微軟正黑體" w:eastAsia="微軟正黑體" w:hAnsi="微軟正黑體"/>
          <w:noProof/>
        </w:rPr>
        <w:drawing>
          <wp:inline distT="0" distB="0" distL="0" distR="0">
            <wp:extent cx="3305175" cy="2478881"/>
            <wp:effectExtent l="0" t="0" r="0" b="0"/>
            <wp:docPr id="3" name="圖片 3" descr="C:\Users\PU301L\Desktop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301L\Desktop\IMG_3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41" cy="24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150人的</w:t>
      </w:r>
      <w:proofErr w:type="gramStart"/>
      <w:r>
        <w:rPr>
          <w:rFonts w:ascii="微軟正黑體" w:eastAsia="微軟正黑體" w:hAnsi="微軟正黑體" w:hint="eastAsia"/>
        </w:rPr>
        <w:t>椅子與譜架</w:t>
      </w:r>
      <w:proofErr w:type="gramEnd"/>
      <w:r>
        <w:rPr>
          <w:rFonts w:ascii="微軟正黑體" w:eastAsia="微軟正黑體" w:hAnsi="微軟正黑體" w:hint="eastAsia"/>
        </w:rPr>
        <w:t>就位</w:t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 w:rsidRPr="00BE25F0"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2676525" cy="3568700"/>
            <wp:effectExtent l="0" t="0" r="9525" b="0"/>
            <wp:docPr id="4" name="圖片 4" descr="C:\Users\PU301L\Desktop\18893138_1559737744058943_8598353456215064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301L\Desktop\18893138_1559737744058943_859835345621506427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17" cy="35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以大型</w:t>
      </w:r>
      <w:proofErr w:type="gramStart"/>
      <w:r>
        <w:rPr>
          <w:rFonts w:ascii="微軟正黑體" w:eastAsia="微軟正黑體" w:hAnsi="微軟正黑體" w:hint="eastAsia"/>
        </w:rPr>
        <w:t>樂器盒檔在</w:t>
      </w:r>
      <w:proofErr w:type="gramEnd"/>
      <w:r>
        <w:rPr>
          <w:rFonts w:ascii="微軟正黑體" w:eastAsia="微軟正黑體" w:hAnsi="微軟正黑體" w:hint="eastAsia"/>
        </w:rPr>
        <w:t>外圍擺出的團員物品放置區</w:t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 w:rsidRPr="00BE25F0">
        <w:rPr>
          <w:rFonts w:ascii="微軟正黑體" w:eastAsia="微軟正黑體" w:hAnsi="微軟正黑體"/>
          <w:noProof/>
        </w:rPr>
        <w:drawing>
          <wp:inline distT="0" distB="0" distL="0" distR="0">
            <wp:extent cx="2536031" cy="3381375"/>
            <wp:effectExtent l="0" t="0" r="0" b="0"/>
            <wp:docPr id="5" name="圖片 5" descr="C:\Users\PU301L\Desktop\18920561_1559737647392286_4242261540532083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301L\Desktop\18920561_1559737647392286_42422615405320834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75" cy="33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團員就位座位調整中</w:t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 w:rsidRPr="00BE25F0"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4105770" cy="2309495"/>
            <wp:effectExtent l="0" t="0" r="9525" b="0"/>
            <wp:docPr id="6" name="圖片 6" descr="C:\Users\PU301L\Desktop\18893000_1559733047392746_7211817584586951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301L\Desktop\18893000_1559733047392746_721181758458695186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63" cy="23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2校聯合150人管樂合奏登場</w:t>
      </w:r>
    </w:p>
    <w:p w:rsidR="00BE25F0" w:rsidRDefault="00BE25F0" w:rsidP="00C775B6">
      <w:pPr>
        <w:spacing w:line="0" w:lineRule="atLeast"/>
        <w:rPr>
          <w:rFonts w:ascii="微軟正黑體" w:eastAsia="微軟正黑體" w:hAnsi="微軟正黑體"/>
        </w:rPr>
      </w:pPr>
      <w:r w:rsidRPr="00BE25F0">
        <w:rPr>
          <w:rFonts w:ascii="微軟正黑體" w:eastAsia="微軟正黑體" w:hAnsi="微軟正黑體"/>
          <w:noProof/>
        </w:rPr>
        <w:drawing>
          <wp:inline distT="0" distB="0" distL="0" distR="0">
            <wp:extent cx="3559386" cy="2669540"/>
            <wp:effectExtent l="0" t="0" r="3175" b="0"/>
            <wp:docPr id="7" name="圖片 7" descr="C:\Users\PU301L\Desktop\18838902_1559732464059471_7607036821390276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301L\Desktop\18838902_1559732464059471_760703682139027661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05" cy="26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0" w:rsidRPr="00BE25F0" w:rsidRDefault="00BE25F0" w:rsidP="00C775B6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集體合影</w:t>
      </w:r>
      <w:bookmarkStart w:id="0" w:name="_GoBack"/>
      <w:bookmarkEnd w:id="0"/>
    </w:p>
    <w:p w:rsidR="00C775B6" w:rsidRPr="00C775B6" w:rsidRDefault="00BE25F0" w:rsidP="00C775B6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lastRenderedPageBreak/>
        <w:drawing>
          <wp:inline distT="0" distB="0" distL="0" distR="0">
            <wp:extent cx="5276850" cy="7029450"/>
            <wp:effectExtent l="0" t="0" r="0" b="0"/>
            <wp:docPr id="1" name="圖片 1" descr="C:\Users\PU301L\Desktop\18882100_1559737984058919_5948304548213221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301L\Desktop\18882100_1559737984058919_594830454821322180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5B6" w:rsidRPr="00C77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5BE2"/>
    <w:multiLevelType w:val="hybridMultilevel"/>
    <w:tmpl w:val="8A1A88A8"/>
    <w:lvl w:ilvl="0" w:tplc="852C84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78"/>
    <w:rsid w:val="00470178"/>
    <w:rsid w:val="00473840"/>
    <w:rsid w:val="00821825"/>
    <w:rsid w:val="00BE25F0"/>
    <w:rsid w:val="00C775B6"/>
    <w:rsid w:val="00CE6D64"/>
    <w:rsid w:val="00D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99B1"/>
  <w15:chartTrackingRefBased/>
  <w15:docId w15:val="{69323218-C9AA-4D62-8775-EC83E0D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PU301L</dc:creator>
  <cp:keywords/>
  <dc:description/>
  <cp:lastModifiedBy>PU301L</cp:lastModifiedBy>
  <cp:revision>2</cp:revision>
  <dcterms:created xsi:type="dcterms:W3CDTF">2017-06-13T03:13:00Z</dcterms:created>
  <dcterms:modified xsi:type="dcterms:W3CDTF">2017-07-07T12:55:00Z</dcterms:modified>
</cp:coreProperties>
</file>