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8" w:rsidRDefault="007A4EB8" w:rsidP="007A4EB8">
      <w:r w:rsidRPr="008D4CBF">
        <w:rPr>
          <w:rFonts w:hint="eastAsia"/>
          <w:sz w:val="26"/>
          <w:szCs w:val="26"/>
        </w:rPr>
        <w:t>十二年國民基本教育素養導向教學轉化與實踐</w:t>
      </w:r>
      <w:r>
        <w:rPr>
          <w:rFonts w:hint="eastAsia"/>
        </w:rPr>
        <w:t xml:space="preserve">      </w:t>
      </w:r>
      <w:r w:rsidRPr="008D4CBF">
        <w:rPr>
          <w:rFonts w:asciiTheme="minorEastAsia" w:hAnsiTheme="minorEastAsia" w:hint="eastAsia"/>
          <w:sz w:val="20"/>
          <w:szCs w:val="20"/>
        </w:rPr>
        <w:t>107.04.25.民權國中社會科輔導團</w:t>
      </w:r>
    </w:p>
    <w:p w:rsidR="007A4EB8" w:rsidRDefault="007A4EB8" w:rsidP="007A4EB8">
      <w:pPr>
        <w:pStyle w:val="a7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面對社會變遷帶來的教育挑戰</w:t>
      </w:r>
      <w:r w:rsidRPr="00585BC8">
        <w:rPr>
          <w:rFonts w:ascii="新細明體" w:hAnsi="新細明體" w:hint="eastAsia"/>
        </w:rPr>
        <w:t>：</w:t>
      </w:r>
      <w:r>
        <w:rPr>
          <w:rFonts w:hint="eastAsia"/>
        </w:rPr>
        <w:t>55</w:t>
      </w:r>
      <w:r w:rsidRPr="00585BC8">
        <w:rPr>
          <w:rFonts w:ascii="新細明體" w:hAnsi="新細明體" w:hint="eastAsia"/>
        </w:rPr>
        <w:t>％</w:t>
      </w:r>
      <w:r>
        <w:rPr>
          <w:rFonts w:hint="eastAsia"/>
        </w:rPr>
        <w:t>國中學生沒有強烈的學習動機</w:t>
      </w:r>
      <w:r w:rsidRPr="00585BC8">
        <w:rPr>
          <w:rFonts w:ascii="新細明體" w:hAnsi="新細明體" w:hint="eastAsia"/>
        </w:rPr>
        <w:t>、</w:t>
      </w:r>
      <w:r>
        <w:rPr>
          <w:rFonts w:hint="eastAsia"/>
        </w:rPr>
        <w:t>教育的全球化本土化與個別化</w:t>
      </w:r>
      <w:r w:rsidRPr="00585BC8">
        <w:rPr>
          <w:rFonts w:ascii="新細明體" w:hAnsi="新細明體" w:hint="eastAsia"/>
        </w:rPr>
        <w:t>、</w:t>
      </w:r>
      <w:r>
        <w:rPr>
          <w:rFonts w:hint="eastAsia"/>
        </w:rPr>
        <w:t>免試入學或大學申請逐漸成為重要趨勢</w:t>
      </w:r>
      <w:r w:rsidRPr="00585BC8">
        <w:rPr>
          <w:rFonts w:ascii="新細明體" w:hAnsi="新細明體" w:hint="eastAsia"/>
        </w:rPr>
        <w:t>、</w:t>
      </w:r>
      <w:r>
        <w:rPr>
          <w:rFonts w:hint="eastAsia"/>
        </w:rPr>
        <w:t>未來的工作有六成尚未被發明</w:t>
      </w:r>
      <w:r w:rsidRPr="00585BC8">
        <w:rPr>
          <w:rFonts w:ascii="新細明體" w:hAnsi="新細明體" w:hint="eastAsia"/>
        </w:rPr>
        <w:t>、</w:t>
      </w:r>
      <w:r>
        <w:rPr>
          <w:rFonts w:hint="eastAsia"/>
        </w:rPr>
        <w:t>學習共同體思潮</w:t>
      </w:r>
      <w:r w:rsidRPr="00585BC8">
        <w:rPr>
          <w:rFonts w:ascii="新細明體" w:hAnsi="新細明體" w:hint="eastAsia"/>
        </w:rPr>
        <w:t>、</w:t>
      </w:r>
      <w:r>
        <w:rPr>
          <w:rFonts w:hint="eastAsia"/>
        </w:rPr>
        <w:t>新住民學生目前暫國中小學人數的</w:t>
      </w:r>
      <w:r>
        <w:rPr>
          <w:rFonts w:hint="eastAsia"/>
        </w:rPr>
        <w:t>10.3</w:t>
      </w:r>
      <w:r w:rsidRPr="00585BC8">
        <w:rPr>
          <w:rFonts w:ascii="新細明體" w:hAnsi="新細明體" w:hint="eastAsia"/>
        </w:rPr>
        <w:t>％、</w:t>
      </w:r>
      <w:r>
        <w:rPr>
          <w:rFonts w:hint="eastAsia"/>
        </w:rPr>
        <w:t>2008</w:t>
      </w:r>
      <w:r>
        <w:rPr>
          <w:rFonts w:hint="eastAsia"/>
        </w:rPr>
        <w:t>年台灣生育率</w:t>
      </w:r>
      <w:r>
        <w:rPr>
          <w:rFonts w:hint="eastAsia"/>
        </w:rPr>
        <w:t>1.05</w:t>
      </w:r>
      <w:r>
        <w:rPr>
          <w:rFonts w:hint="eastAsia"/>
        </w:rPr>
        <w:t>全球倒數第一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PISA, TIMSS</w:t>
      </w:r>
      <w:r>
        <w:rPr>
          <w:rFonts w:hint="eastAsia"/>
        </w:rPr>
        <w:t>數學及科學排名不錯但學習興趣與自信卻低落</w:t>
      </w:r>
      <w:r>
        <w:rPr>
          <w:rFonts w:ascii="新細明體" w:hAnsi="新細明體" w:hint="eastAsia"/>
        </w:rPr>
        <w:t>。</w:t>
      </w:r>
    </w:p>
    <w:p w:rsidR="007A4EB8" w:rsidRPr="000D1CFD" w:rsidRDefault="007A4EB8" w:rsidP="007A4EB8">
      <w:pPr>
        <w:pStyle w:val="a7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課程改革</w:t>
      </w:r>
      <w:r w:rsidRPr="00585BC8">
        <w:rPr>
          <w:rFonts w:ascii="新細明體" w:hAnsi="新細明體" w:hint="eastAsia"/>
        </w:rPr>
        <w:t>：</w:t>
      </w:r>
      <w:r>
        <w:rPr>
          <w:rFonts w:hint="eastAsia"/>
        </w:rPr>
        <w:t>從有到更好</w:t>
      </w:r>
      <w:r w:rsidRPr="00585BC8">
        <w:rPr>
          <w:rFonts w:ascii="新細明體" w:hAnsi="新細明體" w:hint="eastAsia"/>
        </w:rPr>
        <w:t>，努力創造教育新風貌營造正向支持的環境，要跟上時代和社會的變遷，持續精進。素養導向：自發（有意願有動力）、互動（</w:t>
      </w:r>
      <w:r>
        <w:rPr>
          <w:rFonts w:ascii="新細明體" w:hAnsi="新細明體" w:hint="eastAsia"/>
        </w:rPr>
        <w:t>有知識有方法</w:t>
      </w:r>
      <w:r w:rsidRPr="00585BC8">
        <w:rPr>
          <w:rFonts w:ascii="新細明體" w:hAnsi="新細明體" w:hint="eastAsia"/>
        </w:rPr>
        <w:t>）、</w:t>
      </w:r>
      <w:proofErr w:type="gramStart"/>
      <w:r w:rsidRPr="00585BC8">
        <w:rPr>
          <w:rFonts w:ascii="新細明體" w:hAnsi="新細明體" w:hint="eastAsia"/>
        </w:rPr>
        <w:t>共好</w:t>
      </w:r>
      <w:proofErr w:type="gramEnd"/>
      <w:r w:rsidRPr="00585BC8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有善念能活用</w:t>
      </w:r>
      <w:r w:rsidRPr="00585BC8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288"/>
        <w:gridCol w:w="702"/>
        <w:gridCol w:w="703"/>
        <w:gridCol w:w="1395"/>
        <w:gridCol w:w="1118"/>
        <w:gridCol w:w="1672"/>
        <w:gridCol w:w="2192"/>
      </w:tblGrid>
      <w:tr w:rsidR="007A4EB8" w:rsidTr="00681D2D">
        <w:tc>
          <w:tcPr>
            <w:tcW w:w="1308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九年一貫</w:t>
            </w:r>
          </w:p>
        </w:tc>
        <w:tc>
          <w:tcPr>
            <w:tcW w:w="708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能力導向</w:t>
            </w:r>
          </w:p>
        </w:tc>
        <w:tc>
          <w:tcPr>
            <w:tcW w:w="709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七大領域</w:t>
            </w:r>
          </w:p>
        </w:tc>
        <w:tc>
          <w:tcPr>
            <w:tcW w:w="1418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節數</w:t>
            </w:r>
            <w:proofErr w:type="gramStart"/>
            <w:r>
              <w:rPr>
                <w:rFonts w:ascii="新細明體" w:hAnsi="新細明體" w:hint="eastAsia"/>
              </w:rPr>
              <w:t>採</w:t>
            </w:r>
            <w:proofErr w:type="gramEnd"/>
            <w:r>
              <w:rPr>
                <w:rFonts w:ascii="新細明體" w:hAnsi="新細明體" w:hint="eastAsia"/>
              </w:rPr>
              <w:t>彈性比例制</w:t>
            </w:r>
          </w:p>
        </w:tc>
        <w:tc>
          <w:tcPr>
            <w:tcW w:w="1134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彈性學習節數</w:t>
            </w:r>
          </w:p>
        </w:tc>
        <w:tc>
          <w:tcPr>
            <w:tcW w:w="1701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重大議題</w:t>
            </w:r>
            <w:proofErr w:type="gramStart"/>
            <w:r>
              <w:rPr>
                <w:rFonts w:ascii="新細明體" w:hAnsi="新細明體" w:hint="eastAsia"/>
              </w:rPr>
              <w:t>列入課綱</w:t>
            </w:r>
            <w:proofErr w:type="gramEnd"/>
          </w:p>
        </w:tc>
        <w:tc>
          <w:tcPr>
            <w:tcW w:w="2234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</w:p>
        </w:tc>
      </w:tr>
      <w:tr w:rsidR="007A4EB8" w:rsidTr="00681D2D">
        <w:tc>
          <w:tcPr>
            <w:tcW w:w="1308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十二年國教</w:t>
            </w:r>
          </w:p>
        </w:tc>
        <w:tc>
          <w:tcPr>
            <w:tcW w:w="708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素養導向</w:t>
            </w:r>
          </w:p>
        </w:tc>
        <w:tc>
          <w:tcPr>
            <w:tcW w:w="709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八大領域</w:t>
            </w:r>
          </w:p>
        </w:tc>
        <w:tc>
          <w:tcPr>
            <w:tcW w:w="1418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節數</w:t>
            </w:r>
            <w:proofErr w:type="gramStart"/>
            <w:r>
              <w:rPr>
                <w:rFonts w:ascii="新細明體" w:hAnsi="新細明體" w:hint="eastAsia"/>
              </w:rPr>
              <w:t>採</w:t>
            </w:r>
            <w:proofErr w:type="gramEnd"/>
            <w:r>
              <w:rPr>
                <w:rFonts w:ascii="新細明體" w:hAnsi="新細明體" w:hint="eastAsia"/>
              </w:rPr>
              <w:t>固定制</w:t>
            </w:r>
          </w:p>
        </w:tc>
        <w:tc>
          <w:tcPr>
            <w:tcW w:w="1134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彈性學習課程</w:t>
            </w:r>
          </w:p>
        </w:tc>
        <w:tc>
          <w:tcPr>
            <w:tcW w:w="1701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重大議題融入課程</w:t>
            </w:r>
          </w:p>
        </w:tc>
        <w:tc>
          <w:tcPr>
            <w:tcW w:w="2234" w:type="dxa"/>
          </w:tcPr>
          <w:p w:rsidR="007A4EB8" w:rsidRDefault="007A4EB8" w:rsidP="00681D2D">
            <w:pPr>
              <w:pStyle w:val="a7"/>
              <w:spacing w:line="300" w:lineRule="exact"/>
              <w:ind w:leftChars="0" w:left="0"/>
            </w:pPr>
            <w:r>
              <w:rPr>
                <w:rFonts w:ascii="新細明體" w:hAnsi="新細明體" w:hint="eastAsia"/>
              </w:rPr>
              <w:t>加入教師專業發展與家長及民間參與</w:t>
            </w:r>
          </w:p>
        </w:tc>
      </w:tr>
    </w:tbl>
    <w:p w:rsidR="007A4EB8" w:rsidRPr="000D1CFD" w:rsidRDefault="007A4EB8" w:rsidP="007A4EB8">
      <w:pPr>
        <w:pStyle w:val="a7"/>
        <w:spacing w:line="300" w:lineRule="exact"/>
        <w:ind w:leftChars="0" w:left="360"/>
      </w:pPr>
      <w:proofErr w:type="gramStart"/>
      <w:r>
        <w:rPr>
          <w:rFonts w:ascii="新細明體" w:hAnsi="新細明體" w:hint="eastAsia"/>
        </w:rPr>
        <w:t>新課綱</w:t>
      </w:r>
      <w:proofErr w:type="gramEnd"/>
      <w:r>
        <w:rPr>
          <w:rFonts w:ascii="新細明體" w:hAnsi="新細明體" w:hint="eastAsia"/>
        </w:rPr>
        <w:t>（學習總時數不變）：</w:t>
      </w:r>
      <w:proofErr w:type="gramStart"/>
      <w:r>
        <w:rPr>
          <w:rFonts w:ascii="新細明體" w:hAnsi="新細明體" w:hint="eastAsia"/>
        </w:rPr>
        <w:t>校定</w:t>
      </w:r>
      <w:proofErr w:type="gramEnd"/>
      <w:r>
        <w:rPr>
          <w:rFonts w:ascii="新細明體" w:hAnsi="新細明體" w:hint="eastAsia"/>
        </w:rPr>
        <w:t>課程20％，由學校自主以形塑學校願景</w:t>
      </w:r>
      <w:r w:rsidRPr="00585BC8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強化學生適性發展；</w:t>
      </w:r>
      <w:proofErr w:type="gramStart"/>
      <w:r>
        <w:rPr>
          <w:rFonts w:ascii="新細明體" w:hAnsi="新細明體" w:hint="eastAsia"/>
        </w:rPr>
        <w:t>部定課程</w:t>
      </w:r>
      <w:proofErr w:type="gramEnd"/>
      <w:r>
        <w:rPr>
          <w:rFonts w:ascii="新細明體" w:hAnsi="新細明體" w:hint="eastAsia"/>
        </w:rPr>
        <w:t>80％，由國家統一規定，養成學生基本學力，奠定適性發展的基礎。轉化</w:t>
      </w:r>
      <w:proofErr w:type="gramStart"/>
      <w:r>
        <w:rPr>
          <w:rFonts w:ascii="新細明體" w:hAnsi="新細明體" w:hint="eastAsia"/>
        </w:rPr>
        <w:t>新課綱</w:t>
      </w:r>
      <w:proofErr w:type="gramEnd"/>
      <w:r>
        <w:rPr>
          <w:rFonts w:ascii="新細明體" w:hAnsi="新細明體" w:hint="eastAsia"/>
        </w:rPr>
        <w:t>：（目標）</w:t>
      </w:r>
      <w:proofErr w:type="gramStart"/>
      <w:r>
        <w:rPr>
          <w:rFonts w:ascii="新細明體" w:hAnsi="新細明體" w:hint="eastAsia"/>
        </w:rPr>
        <w:t>適性揚才</w:t>
      </w:r>
      <w:proofErr w:type="gramEnd"/>
      <w:r>
        <w:rPr>
          <w:rFonts w:ascii="新細明體" w:hAnsi="新細明體" w:hint="eastAsia"/>
        </w:rPr>
        <w:t>終身學習；（方法）多元適性、校本課程、素養導向；（要點）配套整合連貫統整。</w:t>
      </w:r>
    </w:p>
    <w:p w:rsidR="007A4EB8" w:rsidRPr="00676A18" w:rsidRDefault="007A4EB8" w:rsidP="007A4EB8">
      <w:pPr>
        <w:pStyle w:val="a7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素養導向</w:t>
      </w:r>
      <w:r>
        <w:rPr>
          <w:rFonts w:ascii="新細明體" w:hAnsi="新細明體" w:hint="eastAsia"/>
        </w:rPr>
        <w:t>：以素養為核心思考國民教育課程的發展，兼顧學習者的自我實現及社會的未來發展。在國際：a.聯合國教科文組織，學會求知、做事、共處、自處、改變。b.歐盟，母語溝通、外語溝通、數學及基本科技素養、數位素養、學習如何學習、人際及跨文化愈社會和公民素養、創業家精神、文化表達。c.OECD，自律自主的行動、互動的運用工具溝通、與異質性團體互動。在台灣，「核心素養」是指一個人為適應現在生活及面對未來挑戰所應具備的知識、能力與態度。強調學習不宜以學科知識及技能為限，要關注學習與生活的結合，透過實踐力行而彰顯學習者的全人發展。</w:t>
      </w:r>
    </w:p>
    <w:p w:rsidR="007A4EB8" w:rsidRPr="00676A18" w:rsidRDefault="007A4EB8" w:rsidP="007A4EB8">
      <w:pPr>
        <w:pStyle w:val="a7"/>
        <w:numPr>
          <w:ilvl w:val="0"/>
          <w:numId w:val="1"/>
        </w:numPr>
        <w:spacing w:line="300" w:lineRule="exact"/>
        <w:ind w:leftChars="0"/>
      </w:pPr>
      <w:r>
        <w:rPr>
          <w:rFonts w:ascii="新細明體" w:hAnsi="新細明體" w:hint="eastAsia"/>
        </w:rPr>
        <w:t>核心素養：總綱→核心素養及各教育階段核心素養→各領域/科目綱要→各領域/科目核心素養→各領域/科目理念與綱要→各領域/科目學習表現與學習內容。學習表現包括認知技能與情意，學習內容包括知識與素材，如重要事實、概念、原理原則、操作流程及技能。（情意向度）指正向價值理念、興趣取向與行為習慣等培養，包括：接受、反應、評價、價值組織、價值性格化等層次。（技能向度）描述人類完成行動所需的歷程和方法，包括：感知、準備狀態、引導反應或模仿、機械化、複雜的外在反應、調整、獨創等層次。</w:t>
      </w:r>
    </w:p>
    <w:p w:rsidR="007A4EB8" w:rsidRPr="00EC4A09" w:rsidRDefault="007A4EB8" w:rsidP="007A4EB8">
      <w:pPr>
        <w:pStyle w:val="a7"/>
        <w:numPr>
          <w:ilvl w:val="0"/>
          <w:numId w:val="1"/>
        </w:numPr>
        <w:spacing w:line="300" w:lineRule="exact"/>
        <w:ind w:leftChars="0"/>
      </w:pPr>
      <w:r>
        <w:rPr>
          <w:rFonts w:ascii="新細明體" w:hAnsi="新細明體" w:hint="eastAsia"/>
        </w:rPr>
        <w:t>素養導向教學：A.學習內容：地理歷史公民，學習</w:t>
      </w:r>
      <w:r w:rsidR="00A17A96">
        <w:rPr>
          <w:rFonts w:ascii="新細明體" w:hAnsi="新細明體" w:hint="eastAsia"/>
        </w:rPr>
        <w:t>目標</w:t>
      </w:r>
      <w:bookmarkStart w:id="0" w:name="_GoBack"/>
      <w:bookmarkEnd w:id="0"/>
      <w:r>
        <w:rPr>
          <w:rFonts w:ascii="新細明體" w:hAnsi="新細明體" w:hint="eastAsia"/>
        </w:rPr>
        <w:t>學習活動學習評量由教師擬定。B.學習表現：（技能實作及參與）問題發現、資料蒐集與應用、溝通合作、規劃執行→（理解及思辨）組織說明、分析詮釋、判斷創新→（態度價值）察覺關懷、同理尊重、</w:t>
      </w:r>
      <w:proofErr w:type="gramStart"/>
      <w:r>
        <w:rPr>
          <w:rFonts w:ascii="新細明體" w:hAnsi="新細明體" w:hint="eastAsia"/>
        </w:rPr>
        <w:t>自省診視</w:t>
      </w:r>
      <w:proofErr w:type="gramEnd"/>
      <w:r>
        <w:rPr>
          <w:rFonts w:ascii="新細明體" w:hAnsi="新細明體" w:hint="eastAsia"/>
        </w:rPr>
        <w:t>。C.四大原則（檢核點）：整合知識、技能與態度（基礎學習）、情境化脈絡化的學習（建構意義）、學習方法與策略（歷程）、活用實踐的表現（力行）。D.呈現：目標→達成→評量（教育的生產與績效）、主題→探究→表現（教育的生成與創造）。要求a.理解的學習Understanding：有意義的推論、學習的可遷移、同一現象的多種表徵。b.意義感知的學習Making sense：掌握科學架構科學本質、點線面串聯、關聯,探索與實踐。c.素養導向教學Competence Literacy：</w:t>
      </w:r>
    </w:p>
    <w:p w:rsidR="007A4EB8" w:rsidRPr="0026641C" w:rsidRDefault="007A4EB8" w:rsidP="007A4EB8">
      <w:pPr>
        <w:pStyle w:val="a7"/>
        <w:numPr>
          <w:ilvl w:val="0"/>
          <w:numId w:val="1"/>
        </w:numPr>
        <w:spacing w:line="300" w:lineRule="exact"/>
        <w:ind w:leftChars="0"/>
      </w:pPr>
      <w:r>
        <w:rPr>
          <w:rFonts w:ascii="新細明體" w:hAnsi="新細明體" w:hint="eastAsia"/>
        </w:rPr>
        <w:t>素養導向試題評量五大特色：題目情境主要是以生活問題解決為主，可評量單一能力或綜合能力、題目閱讀量高，以便清楚描述問題情境，常配合圖表或數據資料、</w:t>
      </w:r>
      <w:proofErr w:type="gramStart"/>
      <w:r>
        <w:rPr>
          <w:rFonts w:ascii="新細明體" w:hAnsi="新細明體" w:hint="eastAsia"/>
        </w:rPr>
        <w:t>有單題有</w:t>
      </w:r>
      <w:proofErr w:type="gramEnd"/>
      <w:r>
        <w:rPr>
          <w:rFonts w:ascii="新細明體" w:hAnsi="新細明體" w:hint="eastAsia"/>
        </w:rPr>
        <w:t>題組，受測者了解題目情境之後要回答多道試題、評量目標有學科知識或學習內容，更有延伸對知識概念的判斷，應用與解決生活問題、有選擇題與非選題。</w:t>
      </w:r>
    </w:p>
    <w:p w:rsidR="00E535BB" w:rsidRDefault="007A4EB8" w:rsidP="007A4EB8">
      <w:r>
        <w:rPr>
          <w:rFonts w:hint="eastAsia"/>
        </w:rPr>
        <w:t>課程與教學設計示例</w:t>
      </w:r>
      <w:r>
        <w:rPr>
          <w:rFonts w:ascii="新細明體" w:hAnsi="新細明體" w:hint="eastAsia"/>
        </w:rPr>
        <w:t>：1.課程</w:t>
      </w:r>
      <w:r>
        <w:rPr>
          <w:rFonts w:hint="eastAsia"/>
        </w:rPr>
        <w:t>主題</w:t>
      </w:r>
      <w:r>
        <w:rPr>
          <w:rFonts w:ascii="新細明體" w:hAnsi="新細明體" w:hint="eastAsia"/>
        </w:rPr>
        <w:t>，社區參與、2.新南向：課程設計理念→對應的核心素養（領綱）→學習重點（學習表現、學習表現）→課程內容摘要→期望的學習結果（Desired Results）以大概念理解內容、主要問題→評量結果的證據（Assessment Evidence包括實作任務Performance Tasks）</w:t>
      </w:r>
      <w:r>
        <w:rPr>
          <w:rFonts w:asciiTheme="minorEastAsia" w:hAnsiTheme="minorEastAsia" w:hint="eastAsia"/>
        </w:rPr>
        <w:t>。</w:t>
      </w:r>
    </w:p>
    <w:sectPr w:rsidR="00E535BB" w:rsidSect="007A4EB8">
      <w:pgSz w:w="11906" w:h="16838"/>
      <w:pgMar w:top="1134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01" w:rsidRDefault="00490001" w:rsidP="007A4EB8">
      <w:r>
        <w:separator/>
      </w:r>
    </w:p>
  </w:endnote>
  <w:endnote w:type="continuationSeparator" w:id="0">
    <w:p w:rsidR="00490001" w:rsidRDefault="00490001" w:rsidP="007A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01" w:rsidRDefault="00490001" w:rsidP="007A4EB8">
      <w:r>
        <w:separator/>
      </w:r>
    </w:p>
  </w:footnote>
  <w:footnote w:type="continuationSeparator" w:id="0">
    <w:p w:rsidR="00490001" w:rsidRDefault="00490001" w:rsidP="007A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7E0D"/>
    <w:multiLevelType w:val="hybridMultilevel"/>
    <w:tmpl w:val="1AD4896E"/>
    <w:lvl w:ilvl="0" w:tplc="DDDC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4"/>
    <w:rsid w:val="002149A4"/>
    <w:rsid w:val="00490001"/>
    <w:rsid w:val="007A4EB8"/>
    <w:rsid w:val="00A17A96"/>
    <w:rsid w:val="00C51F37"/>
    <w:rsid w:val="00E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E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EB8"/>
    <w:rPr>
      <w:sz w:val="20"/>
      <w:szCs w:val="20"/>
    </w:rPr>
  </w:style>
  <w:style w:type="paragraph" w:styleId="a7">
    <w:name w:val="List Paragraph"/>
    <w:basedOn w:val="a"/>
    <w:uiPriority w:val="34"/>
    <w:qFormat/>
    <w:rsid w:val="007A4EB8"/>
    <w:pPr>
      <w:ind w:leftChars="200" w:left="480"/>
    </w:pPr>
  </w:style>
  <w:style w:type="table" w:styleId="a8">
    <w:name w:val="Table Grid"/>
    <w:basedOn w:val="a1"/>
    <w:uiPriority w:val="59"/>
    <w:rsid w:val="007A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E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EB8"/>
    <w:rPr>
      <w:sz w:val="20"/>
      <w:szCs w:val="20"/>
    </w:rPr>
  </w:style>
  <w:style w:type="paragraph" w:styleId="a7">
    <w:name w:val="List Paragraph"/>
    <w:basedOn w:val="a"/>
    <w:uiPriority w:val="34"/>
    <w:qFormat/>
    <w:rsid w:val="007A4EB8"/>
    <w:pPr>
      <w:ind w:leftChars="200" w:left="480"/>
    </w:pPr>
  </w:style>
  <w:style w:type="table" w:styleId="a8">
    <w:name w:val="Table Grid"/>
    <w:basedOn w:val="a1"/>
    <w:uiPriority w:val="59"/>
    <w:rsid w:val="007A4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2018-06-26T12:59:00Z</dcterms:created>
  <dcterms:modified xsi:type="dcterms:W3CDTF">2018-06-26T13:04:00Z</dcterms:modified>
</cp:coreProperties>
</file>