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C" w:rsidRPr="00D3237C" w:rsidRDefault="0084383C" w:rsidP="0084383C">
      <w:pPr>
        <w:spacing w:beforeLines="50" w:before="180"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cs="新細明體" w:hint="eastAsia"/>
              </w:rPr>
              <w:t>北市</w:t>
            </w:r>
            <w:r>
              <w:rPr>
                <w:rFonts w:cs="新細明體" w:hint="eastAsia"/>
              </w:rPr>
              <w:t>102</w:t>
            </w:r>
            <w:r>
              <w:rPr>
                <w:rFonts w:cs="新細明體" w:hint="eastAsia"/>
              </w:rPr>
              <w:t>學年度國民中學西區辦理「第二、三區群組社會領域補救教學研習</w:t>
            </w:r>
            <w:r>
              <w:rPr>
                <w:rFonts w:cs="新細明體" w:hint="eastAsia"/>
              </w:rPr>
              <w:t>(</w:t>
            </w:r>
            <w:r w:rsidR="003A7302"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  <w:r>
              <w:rPr>
                <w:rFonts w:cs="新細明體" w:hint="eastAsia"/>
              </w:rPr>
              <w:t>」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493DF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11月</w:t>
            </w:r>
            <w:r w:rsidR="00493DF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日(三) 08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50~11:30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補救教學概論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建成國中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政大附中 陳青青老師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3A7302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舒莊</w:t>
            </w:r>
            <w:r w:rsidR="0084383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84383C" w:rsidRPr="00A339E4" w:rsidTr="00642363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84383C" w:rsidRPr="00A339E4" w:rsidTr="00642363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3A7302" w:rsidRPr="003A7302" w:rsidRDefault="003A7302" w:rsidP="003A7302">
            <w:pPr>
              <w:spacing w:line="4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A7302">
              <w:rPr>
                <w:rFonts w:ascii="標楷體" w:eastAsia="標楷體" w:hAnsi="標楷體" w:hint="eastAsia"/>
                <w:sz w:val="28"/>
                <w:szCs w:val="28"/>
              </w:rPr>
              <w:t>「低成就學生的學習斬斷與評量」</w:t>
            </w:r>
            <w:r w:rsidRPr="003A7302">
              <w:rPr>
                <w:rFonts w:ascii="標楷體" w:eastAsia="標楷體" w:hAnsi="標楷體" w:hint="eastAsia"/>
              </w:rPr>
              <w:t xml:space="preserve">  </w:t>
            </w:r>
            <w:smartTag w:uri="urn:schemas-microsoft-com:office:smarttags" w:element="PersonName">
              <w:smartTagPr>
                <w:attr w:name="ProductID" w:val="陳青青"/>
              </w:smartTagPr>
              <w:r w:rsidRPr="003A7302">
                <w:rPr>
                  <w:rFonts w:ascii="標楷體" w:eastAsia="標楷體" w:hAnsi="標楷體" w:hint="eastAsia"/>
                  <w:sz w:val="22"/>
                  <w:szCs w:val="22"/>
                </w:rPr>
                <w:t>陳青青</w:t>
              </w:r>
            </w:smartTag>
            <w:r w:rsidRPr="003A7302">
              <w:rPr>
                <w:rFonts w:ascii="標楷體" w:eastAsia="標楷體" w:hAnsi="標楷體" w:hint="eastAsia"/>
                <w:sz w:val="22"/>
                <w:szCs w:val="22"/>
              </w:rPr>
              <w:t>老師   102.11.20. 建成國中</w:t>
            </w:r>
          </w:p>
          <w:p w:rsidR="003A7302" w:rsidRPr="003A7302" w:rsidRDefault="003A7302" w:rsidP="003A7302">
            <w:pPr>
              <w:spacing w:line="420" w:lineRule="exact"/>
              <w:rPr>
                <w:rFonts w:ascii="標楷體" w:eastAsia="標楷體" w:hAnsi="標楷體"/>
              </w:rPr>
            </w:pPr>
          </w:p>
          <w:p w:rsidR="003A7302" w:rsidRPr="003A7302" w:rsidRDefault="003A7302" w:rsidP="003A7302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A7302">
              <w:rPr>
                <w:rFonts w:ascii="標楷體" w:eastAsia="標楷體" w:hAnsi="標楷體" w:hint="eastAsia"/>
                <w:sz w:val="26"/>
                <w:szCs w:val="26"/>
              </w:rPr>
              <w:t>課程講授綱要</w:t>
            </w:r>
          </w:p>
          <w:p w:rsidR="003A7302" w:rsidRPr="003A7302" w:rsidRDefault="003A7302" w:rsidP="003A7302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A7302">
              <w:rPr>
                <w:rFonts w:ascii="標楷體" w:eastAsia="標楷體" w:hAnsi="標楷體" w:hint="eastAsia"/>
                <w:sz w:val="26"/>
                <w:szCs w:val="26"/>
              </w:rPr>
              <w:t>評量在針對低成就學生的補救教學過程中的運用</w:t>
            </w:r>
          </w:p>
          <w:p w:rsidR="003A7302" w:rsidRPr="003A7302" w:rsidRDefault="003A7302" w:rsidP="003A7302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A7302">
              <w:rPr>
                <w:rFonts w:ascii="標楷體" w:eastAsia="標楷體" w:hAnsi="標楷體" w:hint="eastAsia"/>
                <w:sz w:val="26"/>
                <w:szCs w:val="26"/>
              </w:rPr>
              <w:t>網路評量的沿革、整合與運用</w:t>
            </w:r>
          </w:p>
          <w:p w:rsidR="003A7302" w:rsidRPr="003A7302" w:rsidRDefault="003A7302" w:rsidP="003A7302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A7302">
              <w:rPr>
                <w:rFonts w:ascii="標楷體" w:eastAsia="標楷體" w:hAnsi="標楷體" w:hint="eastAsia"/>
                <w:sz w:val="26"/>
                <w:szCs w:val="26"/>
              </w:rPr>
              <w:t>低成就學生的學習診斷與評量</w:t>
            </w:r>
          </w:p>
          <w:p w:rsidR="003A7302" w:rsidRPr="003A7302" w:rsidRDefault="003A7302" w:rsidP="003A7302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1.</w:t>
            </w:r>
            <w:r w:rsidRPr="003A7302">
              <w:rPr>
                <w:rFonts w:ascii="標楷體" w:eastAsia="標楷體" w:hAnsi="標楷體" w:hint="eastAsia"/>
                <w:u w:val="single"/>
              </w:rPr>
              <w:t>評量在教育（補救教學）中的運用</w:t>
            </w:r>
            <w:r w:rsidRPr="003A7302">
              <w:rPr>
                <w:rFonts w:ascii="標楷體" w:eastAsia="標楷體" w:hAnsi="標楷體" w:hint="eastAsia"/>
              </w:rPr>
              <w:t>：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a.</w:t>
            </w:r>
            <w:r w:rsidRPr="003A7302">
              <w:rPr>
                <w:rFonts w:ascii="標楷體" w:eastAsia="標楷體" w:hAnsi="標楷體" w:hint="eastAsia"/>
                <w:u w:val="single"/>
              </w:rPr>
              <w:t>篩選</w:t>
            </w:r>
            <w:r w:rsidRPr="003A7302">
              <w:rPr>
                <w:rFonts w:ascii="標楷體" w:eastAsia="標楷體" w:hAnsi="標楷體" w:hint="eastAsia"/>
              </w:rPr>
              <w:t>（作為資格鑑別）：找出最需要補救的低成就學生、快速簡捷的區分出來、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 xml:space="preserve">  降低偽陰性（不要遺漏）。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b.</w:t>
            </w:r>
            <w:r w:rsidRPr="003A7302">
              <w:rPr>
                <w:rFonts w:ascii="標楷體" w:eastAsia="標楷體" w:hAnsi="標楷體" w:hint="eastAsia"/>
                <w:u w:val="single"/>
              </w:rPr>
              <w:t>優缺點診斷</w:t>
            </w:r>
            <w:r w:rsidRPr="003A7302">
              <w:rPr>
                <w:rFonts w:ascii="標楷體" w:eastAsia="標楷體" w:hAnsi="標楷體" w:hint="eastAsia"/>
              </w:rPr>
              <w:t xml:space="preserve">（設計教育計畫）：診斷低成就的成因、發覺學習潛力及學生學習 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 xml:space="preserve">  技巧的優缺點、擬定適合的目標。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c.</w:t>
            </w:r>
            <w:r w:rsidRPr="003A7302">
              <w:rPr>
                <w:rFonts w:ascii="標楷體" w:eastAsia="標楷體" w:hAnsi="標楷體" w:hint="eastAsia"/>
                <w:u w:val="single"/>
              </w:rPr>
              <w:t>學習成效評估</w:t>
            </w:r>
            <w:r w:rsidRPr="003A7302">
              <w:rPr>
                <w:rFonts w:ascii="標楷體" w:eastAsia="標楷體" w:hAnsi="標楷體" w:hint="eastAsia"/>
              </w:rPr>
              <w:t>（教育方案的評鑑）：針對補救教學目標的成效評估、有效評估。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 xml:space="preserve"> ※政策目標：是為提升低成就學生的學習能力與學習效果；本著「弱勢優先」、「公平公正」、「個別輔導」的實施原則，發揚「教育有愛、學習無礙」的精神，達到「有教無類、因材施教」的教育使命。因此藉由客觀的評量，篩選出學習低成就的學生，施以補救教學，以提高學生學習能力，提升教育品質。如此才能真正落實教育機會均等的理想，實現社會的公平正義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今天講習所著重的重點在於T2這個階段，關於T1則是要由教師在課堂上課過程中就要隨時做的補救教學，不是這次講授的重點。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篩選低成就的學生並加以補救，原本在「攜手計畫」中就已經納入並實施。其中所定義的「低成就學生」是指經過標準化測驗（ASAP）在百分等級未達35％的學生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（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都會區學生以單一學科或是班級成績在後段的35％；非都會區學生則是以後段50％為篩選的標準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）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。另外就是以</w:t>
            </w:r>
            <w:r w:rsidRPr="003A7302">
              <w:rPr>
                <w:rFonts w:ascii="標楷體" w:eastAsia="標楷體" w:hAnsi="標楷體" w:hint="eastAsia"/>
                <w:u w:val="single"/>
              </w:rPr>
              <w:t>環境因素</w:t>
            </w:r>
            <w:r w:rsidRPr="003A7302">
              <w:rPr>
                <w:rFonts w:ascii="標楷體" w:eastAsia="標楷體" w:hAnsi="標楷體" w:hint="eastAsia"/>
              </w:rPr>
              <w:t>做為篩選條件：諸如原住民學生、身心障礙者子女、外籍或大陸或港澳配偶的子女、中低收入及免納所得稅的農工漁民子弟、隔代教養或家庭失能的子女、身心障礙學生等、其他經學習輔導小組認定有需要的學生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2.</w:t>
            </w:r>
            <w:r w:rsidRPr="003A7302">
              <w:rPr>
                <w:rFonts w:ascii="標楷體" w:eastAsia="標楷體" w:hAnsi="標楷體" w:hint="eastAsia"/>
                <w:u w:val="single"/>
              </w:rPr>
              <w:t>網路評量的沿革、整合與運用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但是因為沒有標準化的篩選、沒有評鑑學習成效的工具、或是各校經費不足（也有過剩），所以開始設計以客觀化的網路評量，追蹤、分析並累積富輔導學生的學習發展實況資訊，做為檢視攜手計畫成效與策略調整的參考依據。實際操作重心是：設計國民中小學學生各領域（國英數自然）學習成就的評量題庫（缺社會領域），電腦化適性測驗系統（可以針對學生補救教學後的學習發展作不同深度或難易度的測驗）、測驗結果診斷系統、自動化計分系統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民國101年國民中小學補救教學實施方案所指稱的「低成就」是指評量系統標準化測驗結果未達PR35者就界定為低成就，另外再佐以「受輔助對象資格」：包括一般性的扶助方案（包括學習低</w:t>
            </w:r>
            <w:r w:rsidRPr="003A7302">
              <w:rPr>
                <w:rFonts w:ascii="標楷體" w:eastAsia="標楷體" w:hAnsi="標楷體" w:hint="eastAsia"/>
              </w:rPr>
              <w:lastRenderedPageBreak/>
              <w:t>成就及家庭或身分屬於弱勢的學生），還有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國中基測提升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方案中所針對的校內學習低成就的學生。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此電腦網路評量系統的特色在於：評量內容兼具認知與情意、可採用電腦作答或紙筆作答、評量結果提供</w:t>
            </w:r>
            <w:r w:rsidRPr="003A7302">
              <w:rPr>
                <w:rFonts w:ascii="標楷體" w:eastAsia="標楷體" w:hAnsi="標楷體" w:hint="eastAsia"/>
                <w:u w:val="single"/>
              </w:rPr>
              <w:t>常模</w:t>
            </w:r>
            <w:r w:rsidRPr="003A7302">
              <w:rPr>
                <w:rFonts w:ascii="標楷體" w:eastAsia="標楷體" w:hAnsi="標楷體" w:hint="eastAsia"/>
              </w:rPr>
              <w:t>參照及</w:t>
            </w:r>
            <w:r w:rsidRPr="003A7302">
              <w:rPr>
                <w:rFonts w:ascii="標楷體" w:eastAsia="標楷體" w:hAnsi="標楷體" w:hint="eastAsia"/>
                <w:u w:val="single"/>
              </w:rPr>
              <w:t>標準</w:t>
            </w:r>
            <w:r w:rsidRPr="003A7302">
              <w:rPr>
                <w:rFonts w:ascii="標楷體" w:eastAsia="標楷體" w:hAnsi="標楷體" w:hint="eastAsia"/>
              </w:rPr>
              <w:t>參照與能力指標等資訊、題庫參數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量尺化可以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提供跨學年或跨學期的學生學習發展的時間系列成果報告。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最後，作為12年國民基本教育政策的配合項目，為確保每一位國民中小學學生的基本能力，自102年起結合「攜手計畫」與「教育優先區」兩計畫，已由「國民小學及國民中學補救教學實施方案」整合為國民中小學補救教學的單一實施計畫。網路系統由雲林科技大學建構，測驗結果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採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標準參照（通過或不通過）。後續說明操作系統的畫面（請參看講義此處省略）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3.</w:t>
            </w:r>
            <w:r w:rsidRPr="003A7302">
              <w:rPr>
                <w:rFonts w:ascii="標楷體" w:eastAsia="標楷體" w:hAnsi="標楷體" w:hint="eastAsia"/>
                <w:u w:val="single"/>
              </w:rPr>
              <w:t>低成就學生的學習診斷與評量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補救教學重點在：第一層次（T1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一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班補救教學），有效的教學必須在課程單元內做診斷與補救；此由</w:t>
            </w:r>
            <w:smartTag w:uri="urn:schemas-microsoft-com:office:smarttags" w:element="PersonName">
              <w:smartTagPr>
                <w:attr w:name="ProductID" w:val="任課"/>
              </w:smartTagPr>
              <w:r w:rsidRPr="003A7302">
                <w:rPr>
                  <w:rFonts w:ascii="標楷體" w:eastAsia="標楷體" w:hAnsi="標楷體" w:hint="eastAsia"/>
                </w:rPr>
                <w:t>任課</w:t>
              </w:r>
            </w:smartTag>
            <w:r w:rsidRPr="003A7302">
              <w:rPr>
                <w:rFonts w:ascii="標楷體" w:eastAsia="標楷體" w:hAnsi="標楷體" w:hint="eastAsia"/>
              </w:rPr>
              <w:t>老師在課堂中隨堂進行。第二層次（T2小組補救教學），是第一階段篩選出的須補救學習的學生（後段35％的學生）；著重單元基礎能力的補救與降級的基本能力補救（涵蓋特殊需求者、學習困難者、教育弱勢者、學習障礙者）。第三階段（T3特殊抽離式補救，後段5％的學生），由輔導室特別安排從事輔導補救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關於T2作為小組補救教學學生的篩選診斷的方法：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以準備度（認知能力、基本潛能、一般工具能力）、興趣（嗜好、動機、好奇）、個人優劣勢（特質、風格、策略）、情感（自我概念、心理需求）作為診斷觀察的基礎，資料來源則</w:t>
            </w:r>
            <w:r w:rsidRPr="003A7302">
              <w:rPr>
                <w:rFonts w:ascii="標楷體" w:eastAsia="標楷體" w:hAnsi="標楷體" w:hint="eastAsia"/>
                <w:u w:val="single"/>
              </w:rPr>
              <w:t>包括</w:t>
            </w:r>
            <w:r w:rsidRPr="003A7302">
              <w:rPr>
                <w:rFonts w:ascii="標楷體" w:eastAsia="標楷體" w:hAnsi="標楷體" w:hint="eastAsia"/>
              </w:rPr>
              <w:t>：標準化測驗（ASAP、PRIORI、輔導室的智力測驗等）或是學校現有的檔案（AB表、段考成績、出缺席紀錄等）、以及教師的觀察、親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師間的訪談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等。學業成績涉及認知能力（智力注意力記憶力理解力）、學科基本能力（語文與數學的概念、計算與應用的問題）、學習動機（自我期待、心理需求、成敗歸因）、學習策略（讀書聽課筆記考試等方面的技巧與方法）、情緒方面（焦慮挫折忍受力等）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診斷的</w:t>
            </w:r>
            <w:r w:rsidRPr="003A7302">
              <w:rPr>
                <w:rFonts w:ascii="標楷體" w:eastAsia="標楷體" w:hAnsi="標楷體" w:hint="eastAsia"/>
                <w:u w:val="single"/>
              </w:rPr>
              <w:t>項目</w:t>
            </w:r>
            <w:r w:rsidRPr="003A7302">
              <w:rPr>
                <w:rFonts w:ascii="標楷體" w:eastAsia="標楷體" w:hAnsi="標楷體" w:hint="eastAsia"/>
              </w:rPr>
              <w:t>包括：智力水平（與成就的差距、認知能力水準）、學業能力（語文數學的基本能力表現）、其他個人特質（個性、調適、動機、優劣勢）、環境因素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（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從學生互訴、AB卡得知：家庭、學校及其他環境干擾因素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）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。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a.診斷學生</w:t>
            </w:r>
            <w:r w:rsidRPr="003A7302">
              <w:rPr>
                <w:rFonts w:ascii="標楷體" w:eastAsia="標楷體" w:hAnsi="標楷體" w:hint="eastAsia"/>
                <w:u w:val="single"/>
              </w:rPr>
              <w:t>起點</w:t>
            </w:r>
            <w:r w:rsidRPr="003A7302">
              <w:rPr>
                <w:rFonts w:ascii="標楷體" w:eastAsia="標楷體" w:hAnsi="標楷體" w:hint="eastAsia"/>
              </w:rPr>
              <w:t>行為：教學前診斷（起點行為、個人特質及環境可能干擾等因素）、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b.課堂中評量（觀察、問答、作業，正確率、速度、錯誤原因及方式）；其後可以交錯使用對話式形成性評量，運用提問對話從學生回答的內容中蒐集資訊，以作為教學策略的修正；在進一步以診斷訪談了解學生解題（形成答案）的歷程。老師要特別留意「會觀察、注意學生的反應、會詢問學生內在的想法，不必急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著說對或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錯、注意學生學到哪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裏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？注意學生卡在哪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裏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？」</w:t>
            </w:r>
          </w:p>
          <w:p w:rsidR="003A7302" w:rsidRPr="003A7302" w:rsidRDefault="003A7302" w:rsidP="003A7302">
            <w:pPr>
              <w:spacing w:line="320" w:lineRule="exact"/>
              <w:rPr>
                <w:rFonts w:ascii="標楷體" w:eastAsia="標楷體" w:hAnsi="標楷體"/>
              </w:rPr>
            </w:pPr>
            <w:r w:rsidRPr="003A7302">
              <w:rPr>
                <w:rFonts w:ascii="標楷體" w:eastAsia="標楷體" w:hAnsi="標楷體" w:hint="eastAsia"/>
              </w:rPr>
              <w:t>c.學習</w:t>
            </w:r>
            <w:r w:rsidRPr="003A7302">
              <w:rPr>
                <w:rFonts w:ascii="標楷體" w:eastAsia="標楷體" w:hAnsi="標楷體" w:hint="eastAsia"/>
                <w:u w:val="single"/>
              </w:rPr>
              <w:t>成效</w:t>
            </w:r>
            <w:r w:rsidRPr="003A7302">
              <w:rPr>
                <w:rFonts w:ascii="標楷體" w:eastAsia="標楷體" w:hAnsi="標楷體" w:hint="eastAsia"/>
              </w:rPr>
              <w:t>的評量：不限於紙筆評量，可以用多元評量方式。教師自編評量（課堂內、單元評量）或針對教學目標，兼顧不同的知識（語文知識、程序知識、條件知識、後設認知等）以及不同的評量項目（記憶、理解、分析、應用等）。</w:t>
            </w:r>
          </w:p>
          <w:p w:rsidR="0084383C" w:rsidRDefault="003A7302" w:rsidP="003A730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3A7302">
              <w:rPr>
                <w:rFonts w:ascii="標楷體" w:eastAsia="標楷體" w:hAnsi="標楷體" w:hint="eastAsia"/>
              </w:rPr>
              <w:t>診斷後的調整：如果學生仍然不會，可以調整評量；但調整評量會涉及公平性的問題（再給同學一次機會）？可以讓學生建立完整的學習歷程，所謂的公平也未必是說大家都相同。調整作業也是評量，讓學生有成就感、讓學生有機會發揮潛能、讓學生在每次學習中有完整的力成。學習成效評量的目的在於了解學生學到那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裏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了？在學習力成中學生卡在那裡了？學習的六個階段：獲得、流暢、精熟、維持（記憶）、</w:t>
            </w:r>
            <w:proofErr w:type="gramStart"/>
            <w:r w:rsidRPr="003A7302">
              <w:rPr>
                <w:rFonts w:ascii="標楷體" w:eastAsia="標楷體" w:hAnsi="標楷體" w:hint="eastAsia"/>
              </w:rPr>
              <w:t>類化</w:t>
            </w:r>
            <w:proofErr w:type="gramEnd"/>
            <w:r w:rsidRPr="003A7302">
              <w:rPr>
                <w:rFonts w:ascii="標楷體" w:eastAsia="標楷體" w:hAnsi="標楷體" w:hint="eastAsia"/>
              </w:rPr>
              <w:t>、調整（活用）。也可以提供下一階段教學的參考，達到補救教學的目標。</w:t>
            </w:r>
          </w:p>
          <w:p w:rsidR="00E5662A" w:rsidRDefault="00E5662A" w:rsidP="003A7302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E5662A" w:rsidRDefault="00E5662A" w:rsidP="003A7302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E5662A" w:rsidRDefault="00E5662A" w:rsidP="003A7302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E5662A" w:rsidRDefault="00E5662A" w:rsidP="003A7302">
            <w:pPr>
              <w:spacing w:line="3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E5662A" w:rsidRDefault="00E5662A" w:rsidP="003A7302">
            <w:pPr>
              <w:spacing w:line="3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E5662A" w:rsidRDefault="00E5662A" w:rsidP="003A7302">
            <w:pPr>
              <w:spacing w:line="3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:rsidR="00E5662A" w:rsidRPr="003A7302" w:rsidRDefault="00E5662A" w:rsidP="003A7302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7028117" wp14:editId="161F29F2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4678680</wp:posOffset>
                  </wp:positionV>
                  <wp:extent cx="5076825" cy="3807460"/>
                  <wp:effectExtent l="0" t="0" r="9525" b="2540"/>
                  <wp:wrapTight wrapText="bothSides">
                    <wp:wrapPolygon edited="0">
                      <wp:start x="0" y="0"/>
                      <wp:lineTo x="0" y="21506"/>
                      <wp:lineTo x="21559" y="21506"/>
                      <wp:lineTo x="21559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6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380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29B4F34" wp14:editId="0B3A4F57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173355</wp:posOffset>
                  </wp:positionV>
                  <wp:extent cx="5838825" cy="4378960"/>
                  <wp:effectExtent l="0" t="0" r="9525" b="2540"/>
                  <wp:wrapTight wrapText="bothSides">
                    <wp:wrapPolygon edited="0">
                      <wp:start x="0" y="0"/>
                      <wp:lineTo x="0" y="21519"/>
                      <wp:lineTo x="21565" y="21519"/>
                      <wp:lineTo x="215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68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437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83C" w:rsidRPr="00A339E4" w:rsidTr="00E5662A">
        <w:trPr>
          <w:trHeight w:val="486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附簽到表</w:t>
            </w:r>
          </w:p>
        </w:tc>
      </w:tr>
    </w:tbl>
    <w:p w:rsidR="00A628A8" w:rsidRDefault="00A628A8"/>
    <w:sectPr w:rsidR="00A628A8" w:rsidSect="00843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1F" w:rsidRDefault="006F341F" w:rsidP="003A7302">
      <w:r>
        <w:separator/>
      </w:r>
    </w:p>
  </w:endnote>
  <w:endnote w:type="continuationSeparator" w:id="0">
    <w:p w:rsidR="006F341F" w:rsidRDefault="006F341F" w:rsidP="003A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1F" w:rsidRDefault="006F341F" w:rsidP="003A7302">
      <w:r>
        <w:separator/>
      </w:r>
    </w:p>
  </w:footnote>
  <w:footnote w:type="continuationSeparator" w:id="0">
    <w:p w:rsidR="006F341F" w:rsidRDefault="006F341F" w:rsidP="003A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AA0"/>
    <w:multiLevelType w:val="hybridMultilevel"/>
    <w:tmpl w:val="FD2C24E4"/>
    <w:lvl w:ilvl="0" w:tplc="115C3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5863BB"/>
    <w:multiLevelType w:val="hybridMultilevel"/>
    <w:tmpl w:val="7CF2EC14"/>
    <w:lvl w:ilvl="0" w:tplc="E4FC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FA7B8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C"/>
    <w:rsid w:val="003A7302"/>
    <w:rsid w:val="00493DF5"/>
    <w:rsid w:val="006F341F"/>
    <w:rsid w:val="0084383C"/>
    <w:rsid w:val="00A628A8"/>
    <w:rsid w:val="00A923B7"/>
    <w:rsid w:val="00E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6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2013-12-02T03:20:00Z</dcterms:created>
  <dcterms:modified xsi:type="dcterms:W3CDTF">2014-11-03T02:21:00Z</dcterms:modified>
</cp:coreProperties>
</file>